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霸州</w:t>
      </w:r>
      <w:r>
        <w:rPr>
          <w:b/>
          <w:sz w:val="44"/>
          <w:szCs w:val="44"/>
        </w:rPr>
        <w:t>市</w:t>
      </w:r>
      <w:r>
        <w:rPr>
          <w:rFonts w:hint="eastAsia"/>
          <w:b/>
          <w:sz w:val="44"/>
          <w:szCs w:val="44"/>
        </w:rPr>
        <w:t>商务局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Theme="minorEastAsia"/>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hint="eastAsia" w:eastAsia="仿宋_GB2312"/>
          <w:sz w:val="32"/>
          <w:szCs w:val="32"/>
        </w:rPr>
        <w:t>一、</w:t>
      </w:r>
      <w:r>
        <w:rPr>
          <w:rFonts w:eastAsia="仿宋_GB2312"/>
          <w:sz w:val="32"/>
          <w:szCs w:val="32"/>
        </w:rPr>
        <w:t>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firstLine="1273" w:firstLineChars="398"/>
        <w:rPr>
          <w:rFonts w:eastAsia="仿宋_GB2312"/>
          <w:sz w:val="32"/>
          <w:szCs w:val="32"/>
        </w:rPr>
      </w:pPr>
      <w:r>
        <w:rPr>
          <w:rFonts w:eastAsia="仿宋_GB2312"/>
          <w:sz w:val="32"/>
          <w:szCs w:val="32"/>
        </w:rPr>
        <w:t>一、收入支出决算总表</w:t>
      </w:r>
    </w:p>
    <w:p>
      <w:pPr>
        <w:widowControl/>
        <w:spacing w:line="580" w:lineRule="exact"/>
        <w:ind w:firstLine="1273" w:firstLineChars="398"/>
        <w:rPr>
          <w:rFonts w:eastAsia="仿宋_GB2312"/>
          <w:sz w:val="32"/>
          <w:szCs w:val="32"/>
        </w:rPr>
      </w:pPr>
      <w:r>
        <w:rPr>
          <w:rFonts w:eastAsia="仿宋_GB2312"/>
          <w:sz w:val="32"/>
          <w:szCs w:val="32"/>
        </w:rPr>
        <w:t>二、收入决算表</w:t>
      </w:r>
    </w:p>
    <w:p>
      <w:pPr>
        <w:widowControl/>
        <w:spacing w:line="580" w:lineRule="exact"/>
        <w:ind w:firstLine="1273" w:firstLineChars="398"/>
        <w:rPr>
          <w:rFonts w:eastAsia="仿宋_GB2312"/>
          <w:sz w:val="32"/>
          <w:szCs w:val="32"/>
        </w:rPr>
      </w:pPr>
      <w:r>
        <w:rPr>
          <w:rFonts w:eastAsia="仿宋_GB2312"/>
          <w:sz w:val="32"/>
          <w:szCs w:val="32"/>
        </w:rPr>
        <w:t>三、支出决算表</w:t>
      </w:r>
    </w:p>
    <w:p>
      <w:pPr>
        <w:widowControl/>
        <w:spacing w:line="580" w:lineRule="exact"/>
        <w:ind w:firstLine="1273" w:firstLineChars="398"/>
        <w:rPr>
          <w:rFonts w:eastAsia="仿宋_GB2312"/>
          <w:sz w:val="32"/>
          <w:szCs w:val="32"/>
        </w:rPr>
      </w:pPr>
      <w:r>
        <w:rPr>
          <w:rFonts w:eastAsia="仿宋_GB2312"/>
          <w:sz w:val="32"/>
          <w:szCs w:val="32"/>
        </w:rPr>
        <w:t>四、财政拨款收入支出决算总表</w:t>
      </w:r>
    </w:p>
    <w:p>
      <w:pPr>
        <w:widowControl/>
        <w:spacing w:line="580" w:lineRule="exact"/>
        <w:ind w:firstLine="1273" w:firstLineChars="398"/>
        <w:rPr>
          <w:rFonts w:eastAsia="仿宋_GB2312"/>
          <w:sz w:val="32"/>
          <w:szCs w:val="32"/>
        </w:rPr>
      </w:pPr>
      <w:r>
        <w:rPr>
          <w:rFonts w:eastAsia="仿宋_GB2312"/>
          <w:sz w:val="32"/>
          <w:szCs w:val="32"/>
        </w:rPr>
        <w:t>五、一般公共预算财政拨款支出决算表</w:t>
      </w:r>
    </w:p>
    <w:p>
      <w:pPr>
        <w:widowControl/>
        <w:spacing w:line="580" w:lineRule="exact"/>
        <w:ind w:firstLine="1273" w:firstLineChars="398"/>
        <w:rPr>
          <w:rFonts w:eastAsia="仿宋_GB2312"/>
          <w:sz w:val="32"/>
          <w:szCs w:val="32"/>
        </w:rPr>
      </w:pPr>
      <w:r>
        <w:rPr>
          <w:rFonts w:eastAsia="仿宋_GB2312"/>
          <w:sz w:val="32"/>
          <w:szCs w:val="32"/>
        </w:rPr>
        <w:t>六、一般公共预算财政拨款基本支出决算表</w:t>
      </w:r>
    </w:p>
    <w:p>
      <w:pPr>
        <w:widowControl/>
        <w:spacing w:line="580" w:lineRule="exact"/>
        <w:ind w:firstLine="1273" w:firstLineChars="398"/>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firstLine="1273" w:firstLineChars="398"/>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firstLine="1273" w:firstLineChars="398"/>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firstLine="1273" w:firstLineChars="398"/>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霸州市商务局</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firstLine="1273" w:firstLineChars="398"/>
        <w:rPr>
          <w:rFonts w:eastAsia="仿宋_GB2312"/>
          <w:sz w:val="32"/>
          <w:szCs w:val="32"/>
        </w:rPr>
      </w:pPr>
      <w:r>
        <w:rPr>
          <w:rFonts w:eastAsia="仿宋_GB2312"/>
          <w:sz w:val="32"/>
          <w:szCs w:val="32"/>
        </w:rPr>
        <w:t>一、收入支出决算总体情况说明</w:t>
      </w:r>
    </w:p>
    <w:p>
      <w:pPr>
        <w:widowControl/>
        <w:spacing w:line="580" w:lineRule="exact"/>
        <w:ind w:firstLine="1273" w:firstLineChars="398"/>
        <w:rPr>
          <w:rFonts w:eastAsia="仿宋_GB2312"/>
          <w:sz w:val="32"/>
          <w:szCs w:val="32"/>
        </w:rPr>
      </w:pPr>
      <w:r>
        <w:rPr>
          <w:rFonts w:eastAsia="仿宋_GB2312"/>
          <w:sz w:val="32"/>
          <w:szCs w:val="32"/>
        </w:rPr>
        <w:t>二、收入决算情况说明</w:t>
      </w:r>
    </w:p>
    <w:p>
      <w:pPr>
        <w:widowControl/>
        <w:spacing w:line="580" w:lineRule="exact"/>
        <w:ind w:firstLine="1273" w:firstLineChars="398"/>
        <w:rPr>
          <w:rFonts w:eastAsia="仿宋_GB2312"/>
          <w:sz w:val="32"/>
          <w:szCs w:val="32"/>
        </w:rPr>
      </w:pPr>
      <w:r>
        <w:rPr>
          <w:rFonts w:eastAsia="仿宋_GB2312"/>
          <w:sz w:val="32"/>
          <w:szCs w:val="32"/>
        </w:rPr>
        <w:t>三、支出决算情况说明</w:t>
      </w:r>
    </w:p>
    <w:p>
      <w:pPr>
        <w:widowControl/>
        <w:spacing w:line="580" w:lineRule="exact"/>
        <w:ind w:firstLine="1273" w:firstLineChars="398"/>
        <w:rPr>
          <w:rFonts w:eastAsia="仿宋_GB2312"/>
          <w:sz w:val="32"/>
          <w:szCs w:val="32"/>
        </w:rPr>
      </w:pPr>
      <w:r>
        <w:rPr>
          <w:rFonts w:eastAsia="仿宋_GB2312"/>
          <w:sz w:val="32"/>
          <w:szCs w:val="32"/>
        </w:rPr>
        <w:t>四、财政拨款收入支出决算情况说明</w:t>
      </w:r>
    </w:p>
    <w:p>
      <w:pPr>
        <w:widowControl/>
        <w:spacing w:line="580" w:lineRule="exact"/>
        <w:ind w:firstLine="1273" w:firstLineChars="398"/>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firstLine="1273" w:firstLineChars="398"/>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firstLine="1273" w:firstLineChars="398"/>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(一) 贯彻落实国家和省、市有关内外贸易、国际经济合作的发展战略、方针、政策和法律法规。拟订全市商务发展规划、政策措施和年度安排并组织实施；研究经济全球化、区域经济合作、现代流通方式的发展趋势并提出建议。</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(二) 拟订全市国内贸易发展规划。促进城乡市场发展，提出引导国内外资金投向市场体系建设的政策；指导大宗产品批发市场建设和城市商业网点规划、商业体系建设工作；推进农村市场体系建设，组织实施农村现代流通网络工程。</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(三) 提出流通体制改革建议。负责推进流通产业结构调整，指导流通企业改革、商贸服务业和社区商业发展；提出促进商贸中小企业发展的政策建议，推动流通标准化和连锁经营、商业特许经营、物流配送、电子商务等现代流通方式的发展；指导全市流通领域信息网络和电子商务建设。</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(四) 牵头推进商务领域信用体系建设，建立商务诚信公共服务平台。规范商贸企业交易行为，牵头推动全市重要产品追溯体系建设；按有关规定对特殊流通行业进行监督管理。</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(五) 组织实施重要消费品市场调控和重要生产资料流通管理。负责建立健全生活必需品市场供应应急管理机制，监测分析市场运行、商品供求状况，调查分析商品价格信息，进行预测预警和信息引导；按分工负责重要消费品储备管理和市场调控工作；按有关规定对成品油市场进行监督管理；对酒类流通发展进行指导。</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(六) 执行国家制定的进出口商品、加工贸易管理办法和进出口商品、技术目录。贯彻执行国家和省、市促进外贸增长方式转变的政策措施；组织实施国家制定的重要工业品、原材料和重要农产品进出口总量计划；会同有关部门协调大宗进出口商品；指导贸易促进活动和外贸促进体系建设。</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(七) 贯彻执行国家和省、市对外技术贸易、进出口管制以及鼓励技术和成套设备进出口的贸易政策。拟订和推进全市科技兴贸战略；依法监督技术引进、设备进口、国家限制出口技术的工作。</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(八) 会同有关部门贯彻执行国家和省、市促进服务出口和服务外包发展的规划、政策，牵头拟订我市服务贸易发展规划并组织实施。</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(九) 贯彻执行国家和省、市利用外资法律法规规章和外商投资产业政策。拟订全市外商投资政策并组织实施;依法对全市外商投资企业设立及变更事项、外商投资项目合同章程及法律规定的变更事项进行备案；依法监督检查外商投资企业执行有关法律法规规章、合同章程的情况并协调解决有关问题;负责全市吸引外资及外商投资企业备案工作，规范对外招商引资活动；综合协调、省级经济开发区有关工作；指导和管理全市外商投资企业进出口工作。</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(十) 负责全市对外经济合作工作。拟订并执行对外经济合作政策，依法管理和监督对外投资、对外承包工程、对外劳务合作等；负责境外就业职业介绍机构资格审核和监督检查工作；执行中国公民出境就业管理政策，指导外派劳务和境外就业人员的权益保护工作；拟订全市对外投资管理办法和具体政策；负责境外经贸园区有关涉项工作；负责对外援助有关工作；指导全市对外投资和经济合作促进工作。</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(十一) 配合上级商务部门调查国（境）外对我国出口商品实施的歧视性贸易政策、法律法规及做法。组织协调反倾销、反补贴和保障措施等贸易救济调查以及进出口公平贸易相关工作；指导、协调出口产品贸易摩擦应对和进口产品贸易救济申诉工作；跟踪调查反倾销、反补贴和保障措施等贸易救济措施对全市相关产业的影响；建立产业安全预警机制。</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(十二) 负责全市商务系统涉及世贸组织相关事务的研究、指导和服务工作，配合上级商务部门解决世贸组织框架下涉及我市的贸易争端，负责推进我市进出口贸易的标准化建设。</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(十三) 贯彻执行国家制定的对自由贸易区国家和地区的经贸规划、政策，并组织实施，管理联合国及其他国际组织或外国政府对我市经济技术合作方面的无偿援助及赠款等发展合作业务。</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(十四) 负责全市会展业促进与管理工作，指导、管理境内外对外经济技术展览会和赴境外非商业性办展活动。</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(十五) 监测分析全市商务运行情况，承担全市商务系统对外宣传和信息发布工作。</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(十六) 完成市委、市政府交办的其他任务。</w:t>
      </w:r>
    </w:p>
    <w:p>
      <w:pPr>
        <w:spacing w:after="0" w:line="240" w:lineRule="auto"/>
        <w:ind w:firstLine="640" w:firstLineChars="200"/>
        <w:rPr>
          <w:rFonts w:ascii="黑体" w:hAnsi="黑体" w:eastAsia="黑体" w:cs="黑体"/>
          <w:sz w:val="32"/>
          <w:szCs w:val="32"/>
        </w:rPr>
      </w:pPr>
      <w:r>
        <w:rPr>
          <w:rFonts w:hint="eastAsia" w:ascii="黑体" w:hAnsi="黑体" w:eastAsia="黑体" w:cs="黑体"/>
          <w:sz w:val="32"/>
          <w:szCs w:val="32"/>
        </w:rPr>
        <w:t>二、机构设置</w:t>
      </w:r>
    </w:p>
    <w:p>
      <w:pPr>
        <w:spacing w:after="0" w:line="560" w:lineRule="exact"/>
        <w:ind w:firstLine="640" w:firstLineChars="200"/>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cs="ArialUnicodeMS" w:hAnsiTheme="minorHAnsi" w:eastAsiaTheme="minorEastAsia"/>
          <w:kern w:val="0"/>
          <w:sz w:val="32"/>
          <w:szCs w:val="32"/>
        </w:rPr>
        <w:t>1</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944"/>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26"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2944"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526"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2944" w:type="dxa"/>
          </w:tcPr>
          <w:p>
            <w:pPr>
              <w:spacing w:after="0" w:line="560" w:lineRule="exact"/>
              <w:rPr>
                <w:rFonts w:ascii="仿宋_GB2312" w:eastAsia="仿宋_GB2312" w:cs="ArialUnicodeMS" w:hAnsiTheme="minorHAnsi"/>
                <w:kern w:val="0"/>
                <w:sz w:val="28"/>
                <w:szCs w:val="28"/>
              </w:rPr>
            </w:pPr>
            <w:r>
              <w:rPr>
                <w:rFonts w:hint="eastAsia" w:ascii="仿宋_GB2312" w:cs="ArialUnicodeMS" w:hAnsiTheme="minorHAnsi" w:eastAsiaTheme="minorEastAsia"/>
                <w:kern w:val="0"/>
                <w:sz w:val="28"/>
                <w:szCs w:val="28"/>
              </w:rPr>
              <w:t>霸州市商务局</w:t>
            </w:r>
            <w:r>
              <w:rPr>
                <w:rFonts w:hint="eastAsia" w:ascii="仿宋_GB2312" w:eastAsia="仿宋_GB2312" w:cs="ArialUnicodeMS" w:hAnsiTheme="minorHAnsi"/>
                <w:kern w:val="0"/>
                <w:sz w:val="28"/>
                <w:szCs w:val="28"/>
              </w:rPr>
              <w:t>(本级)</w:t>
            </w:r>
          </w:p>
        </w:tc>
        <w:tc>
          <w:tcPr>
            <w:tcW w:w="2445" w:type="dxa"/>
          </w:tcPr>
          <w:p>
            <w:pPr>
              <w:spacing w:after="0" w:line="560" w:lineRule="exact"/>
              <w:jc w:val="center"/>
              <w:rPr>
                <w:rFonts w:ascii="仿宋_GB2312" w:cs="ArialUnicodeMS" w:hAnsiTheme="minorHAnsi" w:eastAsiaTheme="minorEastAsia"/>
                <w:kern w:val="0"/>
                <w:sz w:val="28"/>
                <w:szCs w:val="28"/>
              </w:rPr>
            </w:pPr>
            <w:r>
              <w:rPr>
                <w:rFonts w:hint="eastAsia" w:ascii="仿宋_GB2312" w:cs="ArialUnicodeMS" w:hAnsiTheme="minorHAnsi" w:eastAsiaTheme="minorEastAsia"/>
                <w:kern w:val="0"/>
                <w:sz w:val="28"/>
                <w:szCs w:val="28"/>
              </w:rPr>
              <w:t>行政单位</w:t>
            </w:r>
          </w:p>
        </w:tc>
        <w:tc>
          <w:tcPr>
            <w:tcW w:w="2665" w:type="dxa"/>
          </w:tcPr>
          <w:p>
            <w:pPr>
              <w:spacing w:after="0" w:line="560" w:lineRule="exact"/>
              <w:jc w:val="center"/>
              <w:rPr>
                <w:rFonts w:ascii="仿宋_GB2312" w:cs="ArialUnicodeMS" w:hAnsiTheme="minorHAnsi" w:eastAsiaTheme="minorEastAsia"/>
                <w:kern w:val="0"/>
                <w:sz w:val="28"/>
                <w:szCs w:val="28"/>
              </w:rPr>
            </w:pPr>
            <w:r>
              <w:rPr>
                <w:rFonts w:hint="eastAsia" w:ascii="仿宋_GB2312" w:cs="ArialUnicodeMS" w:hAnsiTheme="minorHAnsi" w:eastAsiaTheme="minorEastAsia"/>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Layout w:type="fixed"/>
        <w:tblCellMar>
          <w:top w:w="0" w:type="dxa"/>
          <w:left w:w="0" w:type="dxa"/>
          <w:bottom w:w="0" w:type="dxa"/>
          <w:right w:w="0" w:type="dxa"/>
        </w:tblCellMar>
      </w:tblPr>
      <w:tblGrid>
        <w:gridCol w:w="2500"/>
        <w:gridCol w:w="580"/>
        <w:gridCol w:w="1100"/>
        <w:gridCol w:w="2980"/>
        <w:gridCol w:w="580"/>
        <w:gridCol w:w="1120"/>
        <w:gridCol w:w="440"/>
      </w:tblGrid>
      <w:tr>
        <w:tblPrEx>
          <w:tblCellMar>
            <w:top w:w="0" w:type="dxa"/>
            <w:left w:w="0" w:type="dxa"/>
            <w:bottom w:w="0" w:type="dxa"/>
            <w:right w:w="0" w:type="dxa"/>
          </w:tblCellMar>
        </w:tblPrEx>
        <w:trPr>
          <w:trHeight w:val="567" w:hRule="atLeast"/>
          <w:jc w:val="center"/>
        </w:trPr>
        <w:tc>
          <w:tcPr>
            <w:tcW w:w="9300" w:type="dxa"/>
            <w:gridSpan w:val="7"/>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108" w:type="dxa"/>
            <w:bottom w:w="0" w:type="dxa"/>
            <w:right w:w="108" w:type="dxa"/>
          </w:tblCellMar>
        </w:tblPrEx>
        <w:trPr>
          <w:gridAfter w:val="1"/>
          <w:wAfter w:w="440" w:type="dxa"/>
          <w:trHeight w:val="255" w:hRule="atLeast"/>
          <w:jc w:val="center"/>
        </w:trPr>
        <w:tc>
          <w:tcPr>
            <w:tcW w:w="250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Cs w:val="21"/>
              </w:rPr>
            </w:pPr>
          </w:p>
        </w:tc>
        <w:tc>
          <w:tcPr>
            <w:tcW w:w="58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Cs w:val="21"/>
              </w:rPr>
            </w:pPr>
          </w:p>
        </w:tc>
        <w:tc>
          <w:tcPr>
            <w:tcW w:w="110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Cs w:val="21"/>
              </w:rPr>
            </w:pPr>
          </w:p>
        </w:tc>
        <w:tc>
          <w:tcPr>
            <w:tcW w:w="298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Cs w:val="21"/>
              </w:rPr>
            </w:pPr>
          </w:p>
        </w:tc>
        <w:tc>
          <w:tcPr>
            <w:tcW w:w="58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Cs w:val="21"/>
              </w:rPr>
            </w:pPr>
          </w:p>
        </w:tc>
        <w:tc>
          <w:tcPr>
            <w:tcW w:w="1120" w:type="dxa"/>
            <w:tcBorders>
              <w:top w:val="nil"/>
              <w:left w:val="nil"/>
              <w:bottom w:val="nil"/>
              <w:right w:val="nil"/>
            </w:tcBorders>
            <w:shd w:val="clear" w:color="auto" w:fill="auto"/>
            <w:noWrap/>
            <w:vAlign w:val="bottom"/>
          </w:tcPr>
          <w:p>
            <w:pPr>
              <w:widowControl/>
              <w:spacing w:after="0" w:line="240" w:lineRule="auto"/>
              <w:jc w:val="right"/>
              <w:rPr>
                <w:rFonts w:ascii="宋体" w:hAnsi="宋体" w:cs="Arial"/>
                <w:color w:val="000000"/>
                <w:kern w:val="0"/>
                <w:szCs w:val="21"/>
              </w:rPr>
            </w:pPr>
            <w:r>
              <w:rPr>
                <w:rFonts w:hint="eastAsia" w:ascii="宋体" w:hAnsi="宋体" w:cs="Arial"/>
                <w:color w:val="000000"/>
                <w:kern w:val="0"/>
                <w:szCs w:val="21"/>
              </w:rPr>
              <w:t>公开01表</w:t>
            </w:r>
          </w:p>
        </w:tc>
      </w:tr>
      <w:tr>
        <w:tblPrEx>
          <w:tblCellMar>
            <w:top w:w="0" w:type="dxa"/>
            <w:left w:w="108" w:type="dxa"/>
            <w:bottom w:w="0" w:type="dxa"/>
            <w:right w:w="108" w:type="dxa"/>
          </w:tblCellMar>
        </w:tblPrEx>
        <w:trPr>
          <w:gridAfter w:val="1"/>
          <w:wAfter w:w="440" w:type="dxa"/>
          <w:trHeight w:val="255" w:hRule="atLeast"/>
          <w:jc w:val="center"/>
        </w:trPr>
        <w:tc>
          <w:tcPr>
            <w:tcW w:w="4180" w:type="dxa"/>
            <w:gridSpan w:val="3"/>
            <w:tcBorders>
              <w:top w:val="nil"/>
              <w:left w:val="nil"/>
              <w:bottom w:val="nil"/>
              <w:right w:val="nil"/>
            </w:tcBorders>
            <w:shd w:val="clear" w:color="auto" w:fill="auto"/>
            <w:noWrap/>
            <w:vAlign w:val="bottom"/>
          </w:tcPr>
          <w:p>
            <w:pPr>
              <w:widowControl/>
              <w:spacing w:after="0" w:line="240" w:lineRule="auto"/>
              <w:jc w:val="left"/>
              <w:rPr>
                <w:rFonts w:ascii="宋体" w:hAnsi="宋体" w:cs="Arial"/>
                <w:color w:val="000000"/>
                <w:kern w:val="0"/>
                <w:szCs w:val="21"/>
              </w:rPr>
            </w:pPr>
            <w:r>
              <w:rPr>
                <w:rFonts w:hint="eastAsia" w:ascii="宋体" w:hAnsi="宋体" w:cs="Arial"/>
                <w:color w:val="000000"/>
                <w:kern w:val="0"/>
                <w:szCs w:val="21"/>
              </w:rPr>
              <w:t>部门：廊坊市霸州市商务局（本级）</w:t>
            </w:r>
          </w:p>
        </w:tc>
        <w:tc>
          <w:tcPr>
            <w:tcW w:w="2980" w:type="dxa"/>
            <w:tcBorders>
              <w:top w:val="nil"/>
              <w:left w:val="nil"/>
              <w:bottom w:val="nil"/>
              <w:right w:val="nil"/>
            </w:tcBorders>
            <w:shd w:val="clear" w:color="auto" w:fill="auto"/>
            <w:noWrap/>
            <w:vAlign w:val="bottom"/>
          </w:tcPr>
          <w:p>
            <w:pPr>
              <w:widowControl/>
              <w:spacing w:after="0" w:line="240" w:lineRule="auto"/>
              <w:jc w:val="left"/>
              <w:rPr>
                <w:rFonts w:ascii="Arial" w:hAnsi="Arial" w:cs="Arial"/>
                <w:color w:val="000000"/>
                <w:kern w:val="0"/>
                <w:szCs w:val="21"/>
              </w:rPr>
            </w:pPr>
          </w:p>
        </w:tc>
        <w:tc>
          <w:tcPr>
            <w:tcW w:w="1700" w:type="dxa"/>
            <w:gridSpan w:val="2"/>
            <w:tcBorders>
              <w:top w:val="nil"/>
              <w:left w:val="nil"/>
              <w:bottom w:val="single" w:color="000000" w:sz="4" w:space="0"/>
              <w:right w:val="nil"/>
            </w:tcBorders>
            <w:shd w:val="clear" w:color="auto" w:fill="auto"/>
            <w:noWrap/>
            <w:vAlign w:val="bottom"/>
          </w:tcPr>
          <w:p>
            <w:pPr>
              <w:widowControl/>
              <w:spacing w:after="0" w:line="240" w:lineRule="auto"/>
              <w:jc w:val="right"/>
              <w:rPr>
                <w:rFonts w:ascii="宋体" w:hAnsi="宋体" w:cs="Arial"/>
                <w:color w:val="000000"/>
                <w:kern w:val="0"/>
                <w:szCs w:val="21"/>
              </w:rPr>
            </w:pPr>
            <w:r>
              <w:rPr>
                <w:rFonts w:hint="eastAsia" w:ascii="宋体" w:hAnsi="宋体" w:cs="Arial"/>
                <w:color w:val="000000"/>
                <w:kern w:val="0"/>
                <w:szCs w:val="21"/>
              </w:rPr>
              <w:t>金额单位：万元</w:t>
            </w:r>
          </w:p>
        </w:tc>
      </w:tr>
      <w:tr>
        <w:tblPrEx>
          <w:tblCellMar>
            <w:top w:w="0" w:type="dxa"/>
            <w:left w:w="108" w:type="dxa"/>
            <w:bottom w:w="0" w:type="dxa"/>
            <w:right w:w="108" w:type="dxa"/>
          </w:tblCellMar>
        </w:tblPrEx>
        <w:trPr>
          <w:gridAfter w:val="1"/>
          <w:wAfter w:w="440" w:type="dxa"/>
          <w:trHeight w:val="308" w:hRule="atLeast"/>
          <w:jc w:val="center"/>
        </w:trPr>
        <w:tc>
          <w:tcPr>
            <w:tcW w:w="41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收入</w:t>
            </w:r>
          </w:p>
        </w:tc>
        <w:tc>
          <w:tcPr>
            <w:tcW w:w="4680"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支出</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行次</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金额</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行次</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金额</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一、财政拨款收入</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1,051.75</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一、一般公共服务支出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28</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612.09</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二、上级补助收入</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二、外交支出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29</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三、事业收入</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三、国防支出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30</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四、经营收入</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四、公共安全支出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31</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五、附属单位上缴收入</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五、教育支出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32</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六、其他收入</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6</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0.01</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六、科学技术支出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33</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7</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七、文化体育与传媒支出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34</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8</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八、社会保障和就业支出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35</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9</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九、医疗卫生与计划生育支出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36</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10</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十、节能环保支出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37</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11</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十一、城乡社区支出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38</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12</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十二、农林水支出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39</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13</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十三、交通运输支出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40</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14</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十四、资源勘探信息等支出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41</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15</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十五、商业服务业等支出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42</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16</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十六、金融支出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43</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17</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十七、援助其他地区支出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44</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18</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十八、国土海洋气象等支出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45</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19</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十九、住房保障支出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46</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20</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二十、粮油物资储备支出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47</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21</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二十一、其他支出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48</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22</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二十二、债务还本支出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49</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23</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二十三、债务付息支出</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50</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本年收入合计</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1,051.76</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本年支出合计</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51</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1,285.68</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用事业基金弥补收支差额</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结余分配</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52</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年初结转和结余</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339.51</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年末结转和结余</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53</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105.59</w:t>
            </w:r>
          </w:p>
        </w:tc>
      </w:tr>
      <w:tr>
        <w:tblPrEx>
          <w:tblCellMar>
            <w:top w:w="0" w:type="dxa"/>
            <w:left w:w="108" w:type="dxa"/>
            <w:bottom w:w="0" w:type="dxa"/>
            <w:right w:w="108" w:type="dxa"/>
          </w:tblCellMar>
        </w:tblPrEx>
        <w:trPr>
          <w:gridAfter w:val="1"/>
          <w:wAfter w:w="440" w:type="dxa"/>
          <w:trHeight w:val="308" w:hRule="atLeast"/>
          <w:jc w:val="center"/>
        </w:trPr>
        <w:tc>
          <w:tcPr>
            <w:tcW w:w="250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20"/>
                <w:szCs w:val="20"/>
              </w:rPr>
            </w:pPr>
            <w:r>
              <w:rPr>
                <w:rFonts w:hint="eastAsia" w:ascii="宋体" w:hAnsi="宋体" w:cs="Arial"/>
                <w:b/>
                <w:bCs/>
                <w:color w:val="000000"/>
                <w:kern w:val="0"/>
                <w:sz w:val="20"/>
                <w:szCs w:val="20"/>
              </w:rPr>
              <w:t>总计</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27</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1,391.27</w:t>
            </w:r>
          </w:p>
        </w:tc>
        <w:tc>
          <w:tcPr>
            <w:tcW w:w="29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20"/>
                <w:szCs w:val="20"/>
              </w:rPr>
            </w:pPr>
            <w:r>
              <w:rPr>
                <w:rFonts w:hint="eastAsia" w:ascii="宋体" w:hAnsi="宋体" w:cs="Arial"/>
                <w:b/>
                <w:bCs/>
                <w:color w:val="000000"/>
                <w:kern w:val="0"/>
                <w:sz w:val="20"/>
                <w:szCs w:val="20"/>
              </w:rPr>
              <w:t>总计</w:t>
            </w:r>
          </w:p>
        </w:tc>
        <w:tc>
          <w:tcPr>
            <w:tcW w:w="58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54</w:t>
            </w:r>
          </w:p>
        </w:tc>
        <w:tc>
          <w:tcPr>
            <w:tcW w:w="112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1,391.27</w:t>
            </w:r>
          </w:p>
        </w:tc>
      </w:tr>
      <w:tr>
        <w:tblPrEx>
          <w:tblCellMar>
            <w:top w:w="0" w:type="dxa"/>
            <w:left w:w="108" w:type="dxa"/>
            <w:bottom w:w="0" w:type="dxa"/>
            <w:right w:w="108" w:type="dxa"/>
          </w:tblCellMar>
        </w:tblPrEx>
        <w:trPr>
          <w:gridAfter w:val="1"/>
          <w:wAfter w:w="440" w:type="dxa"/>
          <w:trHeight w:val="308" w:hRule="atLeast"/>
          <w:jc w:val="center"/>
        </w:trPr>
        <w:tc>
          <w:tcPr>
            <w:tcW w:w="8860" w:type="dxa"/>
            <w:gridSpan w:val="6"/>
            <w:tcBorders>
              <w:top w:val="nil"/>
              <w:left w:val="nil"/>
              <w:bottom w:val="nil"/>
              <w:right w:val="nil"/>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815"/>
        <w:gridCol w:w="816"/>
        <w:gridCol w:w="815"/>
        <w:gridCol w:w="815"/>
        <w:gridCol w:w="2394"/>
      </w:tblGrid>
      <w:tr>
        <w:tblPrEx>
          <w:tblCellMar>
            <w:top w:w="0" w:type="dxa"/>
            <w:left w:w="0" w:type="dxa"/>
            <w:bottom w:w="0" w:type="dxa"/>
            <w:right w:w="0" w:type="dxa"/>
          </w:tblCellMar>
        </w:tblPrEx>
        <w:trPr>
          <w:trHeight w:val="770" w:hRule="atLeast"/>
          <w:jc w:val="center"/>
        </w:trPr>
        <w:tc>
          <w:tcPr>
            <w:tcW w:w="880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trHeight w:val="362" w:hRule="atLeast"/>
          <w:jc w:val="center"/>
        </w:trPr>
        <w:tc>
          <w:tcPr>
            <w:tcW w:w="4776" w:type="dxa"/>
            <w:gridSpan w:val="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Arial"/>
                <w:color w:val="000000"/>
                <w:kern w:val="0"/>
                <w:szCs w:val="21"/>
              </w:rPr>
              <w:t>廊坊市霸州市商务局（本级）</w:t>
            </w: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481" w:hRule="atLeast"/>
          <w:jc w:val="center"/>
        </w:trPr>
        <w:tc>
          <w:tcPr>
            <w:tcW w:w="8800" w:type="dxa"/>
            <w:gridSpan w:val="11"/>
            <w:tcBorders>
              <w:top w:val="nil"/>
              <w:left w:val="nil"/>
              <w:bottom w:val="nil"/>
              <w:right w:val="nil"/>
            </w:tcBorders>
            <w:shd w:val="clear" w:color="auto" w:fill="auto"/>
            <w:noWrap/>
            <w:tcMar>
              <w:top w:w="15" w:type="dxa"/>
              <w:left w:w="15" w:type="dxa"/>
              <w:right w:w="15" w:type="dxa"/>
            </w:tcMar>
            <w:vAlign w:val="center"/>
          </w:tcPr>
          <w:tbl>
            <w:tblPr>
              <w:tblStyle w:val="12"/>
              <w:tblW w:w="8775" w:type="dxa"/>
              <w:tblInd w:w="0" w:type="dxa"/>
              <w:tblLayout w:type="fixed"/>
              <w:tblCellMar>
                <w:top w:w="0" w:type="dxa"/>
                <w:left w:w="108" w:type="dxa"/>
                <w:bottom w:w="0" w:type="dxa"/>
                <w:right w:w="108" w:type="dxa"/>
              </w:tblCellMar>
            </w:tblPr>
            <w:tblGrid>
              <w:gridCol w:w="1020"/>
              <w:gridCol w:w="2440"/>
              <w:gridCol w:w="1100"/>
              <w:gridCol w:w="1097"/>
              <w:gridCol w:w="567"/>
              <w:gridCol w:w="425"/>
              <w:gridCol w:w="567"/>
              <w:gridCol w:w="709"/>
              <w:gridCol w:w="850"/>
            </w:tblGrid>
            <w:tr>
              <w:tblPrEx>
                <w:tblCellMar>
                  <w:top w:w="0" w:type="dxa"/>
                  <w:left w:w="108" w:type="dxa"/>
                  <w:bottom w:w="0" w:type="dxa"/>
                  <w:right w:w="108" w:type="dxa"/>
                </w:tblCellMar>
              </w:tblPrEx>
              <w:trPr>
                <w:trHeight w:val="308" w:hRule="atLeast"/>
              </w:trPr>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110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本年收入合计</w:t>
                  </w:r>
                </w:p>
              </w:tc>
              <w:tc>
                <w:tcPr>
                  <w:tcW w:w="109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财政拨款收入</w:t>
                  </w:r>
                </w:p>
              </w:tc>
              <w:tc>
                <w:tcPr>
                  <w:tcW w:w="56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上级补助收入</w:t>
                  </w:r>
                </w:p>
              </w:tc>
              <w:tc>
                <w:tcPr>
                  <w:tcW w:w="42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事业收入</w:t>
                  </w:r>
                </w:p>
              </w:tc>
              <w:tc>
                <w:tcPr>
                  <w:tcW w:w="56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经营收入</w:t>
                  </w:r>
                </w:p>
              </w:tc>
              <w:tc>
                <w:tcPr>
                  <w:tcW w:w="709"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附属单位上缴收入</w:t>
                  </w:r>
                </w:p>
              </w:tc>
              <w:tc>
                <w:tcPr>
                  <w:tcW w:w="85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其他收入</w:t>
                  </w:r>
                </w:p>
              </w:tc>
            </w:tr>
            <w:tr>
              <w:tblPrEx>
                <w:tblCellMar>
                  <w:top w:w="0" w:type="dxa"/>
                  <w:left w:w="108" w:type="dxa"/>
                  <w:bottom w:w="0" w:type="dxa"/>
                  <w:right w:w="108" w:type="dxa"/>
                </w:tblCellMar>
              </w:tblPrEx>
              <w:trPr>
                <w:trHeight w:val="312" w:hRule="atLeast"/>
              </w:trPr>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功能分类科目编码</w:t>
                  </w:r>
                </w:p>
              </w:tc>
              <w:tc>
                <w:tcPr>
                  <w:tcW w:w="2440" w:type="dxa"/>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10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1097"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567"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42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567"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709"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85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trPr>
              <w:tc>
                <w:tcPr>
                  <w:tcW w:w="10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2440"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110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1097"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567"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42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567"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709"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85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3460"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110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097"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567"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42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567"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709"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6</w:t>
                  </w:r>
                </w:p>
              </w:tc>
              <w:tc>
                <w:tcPr>
                  <w:tcW w:w="85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7</w:t>
                  </w:r>
                </w:p>
              </w:tc>
            </w:tr>
            <w:tr>
              <w:tblPrEx>
                <w:tblCellMar>
                  <w:top w:w="0" w:type="dxa"/>
                  <w:left w:w="108" w:type="dxa"/>
                  <w:bottom w:w="0" w:type="dxa"/>
                  <w:right w:w="108" w:type="dxa"/>
                </w:tblCellMar>
              </w:tblPrEx>
              <w:trPr>
                <w:trHeight w:val="308" w:hRule="atLeast"/>
              </w:trPr>
              <w:tc>
                <w:tcPr>
                  <w:tcW w:w="3460"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1,051.76</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1,051.75</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0.01</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一般公共服务支出</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620.34</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620.33</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0.01</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商贸事务</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620.34</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620.33</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0.01</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2011301</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行政运行</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618.24</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618.23</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0.01</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2011302</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一般行政管理事务</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0.96</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0.96</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2011304</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对外贸易管理</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1.13</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1.13</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211</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节能环保支出</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21103</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污染防治</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2110301</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大气</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商业服务业等支出</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221.42</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221.42</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21602</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商业流通事务</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90.00</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90.00</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2160299</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其他商业流通事务支出</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90.00</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90.00</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21606</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涉外发展服务支出</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131.42</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131.42</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2160699</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其他涉外发展服务支出</w:t>
                  </w:r>
                </w:p>
              </w:tc>
              <w:tc>
                <w:tcPr>
                  <w:tcW w:w="110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131.42</w:t>
                  </w:r>
                </w:p>
              </w:tc>
              <w:tc>
                <w:tcPr>
                  <w:tcW w:w="109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131.42</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0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bl>
          <w:p>
            <w:pPr>
              <w:widowControl/>
              <w:spacing w:after="0" w:line="240" w:lineRule="atLeast"/>
              <w:jc w:val="left"/>
              <w:textAlignment w:val="center"/>
              <w:rPr>
                <w:rFonts w:ascii="宋体" w:hAnsi="宋体" w:cs="宋体"/>
                <w:color w:val="000000"/>
                <w:kern w:val="0"/>
                <w:szCs w:val="21"/>
              </w:rPr>
            </w:pPr>
          </w:p>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134" w:bottom="1985" w:left="1134"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3"/>
        <w:gridCol w:w="1117"/>
        <w:gridCol w:w="647"/>
        <w:gridCol w:w="1118"/>
        <w:gridCol w:w="1120"/>
        <w:gridCol w:w="1118"/>
        <w:gridCol w:w="1120"/>
        <w:gridCol w:w="1378"/>
      </w:tblGrid>
      <w:tr>
        <w:tblPrEx>
          <w:tblCellMar>
            <w:top w:w="0" w:type="dxa"/>
            <w:left w:w="0" w:type="dxa"/>
            <w:bottom w:w="0" w:type="dxa"/>
            <w:right w:w="0" w:type="dxa"/>
          </w:tblCellMar>
        </w:tblPrEx>
        <w:trPr>
          <w:trHeight w:val="798" w:hRule="atLeast"/>
        </w:trPr>
        <w:tc>
          <w:tcPr>
            <w:tcW w:w="9000"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Arial"/>
                <w:color w:val="000000"/>
                <w:kern w:val="0"/>
                <w:szCs w:val="21"/>
              </w:rPr>
              <w:t>廊坊市霸州市商务局（本级）</w:t>
            </w:r>
          </w:p>
        </w:tc>
        <w:tc>
          <w:tcPr>
            <w:tcW w:w="11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748" w:hRule="atLeast"/>
        </w:trPr>
        <w:tc>
          <w:tcPr>
            <w:tcW w:w="9000" w:type="dxa"/>
            <w:gridSpan w:val="10"/>
            <w:tcBorders>
              <w:top w:val="nil"/>
              <w:left w:val="nil"/>
              <w:bottom w:val="nil"/>
              <w:right w:val="nil"/>
            </w:tcBorders>
            <w:shd w:val="clear" w:color="auto" w:fill="auto"/>
            <w:noWrap/>
            <w:tcMar>
              <w:top w:w="15" w:type="dxa"/>
              <w:left w:w="15" w:type="dxa"/>
              <w:right w:w="15" w:type="dxa"/>
            </w:tcMar>
            <w:vAlign w:val="center"/>
          </w:tcPr>
          <w:tbl>
            <w:tblPr>
              <w:tblStyle w:val="12"/>
              <w:tblW w:w="8926" w:type="dxa"/>
              <w:tblInd w:w="0" w:type="dxa"/>
              <w:tblLayout w:type="fixed"/>
              <w:tblCellMar>
                <w:top w:w="0" w:type="dxa"/>
                <w:left w:w="108" w:type="dxa"/>
                <w:bottom w:w="0" w:type="dxa"/>
                <w:right w:w="108" w:type="dxa"/>
              </w:tblCellMar>
            </w:tblPr>
            <w:tblGrid>
              <w:gridCol w:w="1020"/>
              <w:gridCol w:w="2440"/>
              <w:gridCol w:w="1060"/>
              <w:gridCol w:w="1060"/>
              <w:gridCol w:w="1060"/>
              <w:gridCol w:w="660"/>
              <w:gridCol w:w="775"/>
              <w:gridCol w:w="851"/>
            </w:tblGrid>
            <w:tr>
              <w:tblPrEx>
                <w:tblCellMar>
                  <w:top w:w="0" w:type="dxa"/>
                  <w:left w:w="108" w:type="dxa"/>
                  <w:bottom w:w="0" w:type="dxa"/>
                  <w:right w:w="108" w:type="dxa"/>
                </w:tblCellMar>
              </w:tblPrEx>
              <w:trPr>
                <w:trHeight w:val="308" w:hRule="atLeast"/>
              </w:trPr>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106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本年支出合计</w:t>
                  </w:r>
                </w:p>
              </w:tc>
              <w:tc>
                <w:tcPr>
                  <w:tcW w:w="106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基本支出</w:t>
                  </w:r>
                </w:p>
              </w:tc>
              <w:tc>
                <w:tcPr>
                  <w:tcW w:w="106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项目支出</w:t>
                  </w:r>
                </w:p>
              </w:tc>
              <w:tc>
                <w:tcPr>
                  <w:tcW w:w="66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上缴上级支出</w:t>
                  </w:r>
                </w:p>
              </w:tc>
              <w:tc>
                <w:tcPr>
                  <w:tcW w:w="775"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经营支出</w:t>
                  </w:r>
                </w:p>
              </w:tc>
              <w:tc>
                <w:tcPr>
                  <w:tcW w:w="85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对附属单位补助支出</w:t>
                  </w:r>
                </w:p>
              </w:tc>
            </w:tr>
            <w:tr>
              <w:tblPrEx>
                <w:tblCellMar>
                  <w:top w:w="0" w:type="dxa"/>
                  <w:left w:w="108" w:type="dxa"/>
                  <w:bottom w:w="0" w:type="dxa"/>
                  <w:right w:w="108" w:type="dxa"/>
                </w:tblCellMar>
              </w:tblPrEx>
              <w:trPr>
                <w:trHeight w:val="312" w:hRule="atLeast"/>
              </w:trPr>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功能分类科目编码</w:t>
                  </w:r>
                </w:p>
              </w:tc>
              <w:tc>
                <w:tcPr>
                  <w:tcW w:w="2440" w:type="dxa"/>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0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10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10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77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851"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12" w:hRule="atLeast"/>
              </w:trPr>
              <w:tc>
                <w:tcPr>
                  <w:tcW w:w="1020"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2440"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10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10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10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660"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775"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851" w:type="dxa"/>
                  <w:vMerge w:val="continue"/>
                  <w:tcBorders>
                    <w:top w:val="single" w:color="000000" w:sz="4" w:space="0"/>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3460"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106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06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06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660"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775"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851" w:type="dxa"/>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6</w:t>
                  </w:r>
                </w:p>
              </w:tc>
            </w:tr>
            <w:tr>
              <w:tblPrEx>
                <w:tblCellMar>
                  <w:top w:w="0" w:type="dxa"/>
                  <w:left w:w="108" w:type="dxa"/>
                  <w:bottom w:w="0" w:type="dxa"/>
                  <w:right w:w="108" w:type="dxa"/>
                </w:tblCellMar>
              </w:tblPrEx>
              <w:trPr>
                <w:trHeight w:val="308" w:hRule="atLeast"/>
              </w:trPr>
              <w:tc>
                <w:tcPr>
                  <w:tcW w:w="3460"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1,285.68</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610.00</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675.68</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一般公共服务支出</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612.09</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610.00</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2.09</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商贸事务</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612.09</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610.00</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2.09</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2011301</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行政运行</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610.00</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610.00</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2011302</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一般行政管理事务</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0.96</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0.96</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2011304</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对外贸易管理</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1.13</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1.13</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211</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节能环保支出</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21103</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污染防治</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2110301</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大气</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商业服务业等支出</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21606</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涉外发展服务支出</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2160699</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其他涉外发展服务支出</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44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0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6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7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bl>
          <w:p>
            <w:pPr>
              <w:widowControl/>
              <w:spacing w:after="0" w:line="240" w:lineRule="atLeast"/>
              <w:jc w:val="left"/>
              <w:textAlignment w:val="center"/>
              <w:rPr>
                <w:rFonts w:ascii="宋体" w:hAnsi="宋体" w:cs="宋体"/>
                <w:color w:val="000000"/>
                <w:kern w:val="0"/>
                <w:szCs w:val="21"/>
              </w:rPr>
            </w:pPr>
          </w:p>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jc w:val="center"/>
        <w:tblLayout w:type="fixed"/>
        <w:tblCellMar>
          <w:top w:w="0" w:type="dxa"/>
          <w:left w:w="0" w:type="dxa"/>
          <w:bottom w:w="0" w:type="dxa"/>
          <w:right w:w="0" w:type="dxa"/>
        </w:tblCellMar>
      </w:tblPr>
      <w:tblGrid>
        <w:gridCol w:w="1717"/>
        <w:gridCol w:w="745"/>
        <w:gridCol w:w="325"/>
        <w:gridCol w:w="2974"/>
        <w:gridCol w:w="551"/>
        <w:gridCol w:w="650"/>
        <w:gridCol w:w="825"/>
        <w:gridCol w:w="1153"/>
      </w:tblGrid>
      <w:tr>
        <w:tblPrEx>
          <w:tblCellMar>
            <w:top w:w="0" w:type="dxa"/>
            <w:left w:w="0" w:type="dxa"/>
            <w:bottom w:w="0" w:type="dxa"/>
            <w:right w:w="0" w:type="dxa"/>
          </w:tblCellMar>
        </w:tblPrEx>
        <w:trPr>
          <w:trHeight w:val="152" w:hRule="atLeast"/>
          <w:jc w:val="center"/>
        </w:trPr>
        <w:tc>
          <w:tcPr>
            <w:tcW w:w="8940" w:type="dxa"/>
            <w:gridSpan w:val="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jc w:val="center"/>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jc w:val="center"/>
        </w:trPr>
        <w:tc>
          <w:tcPr>
            <w:tcW w:w="6312"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Cs w:val="21"/>
              </w:rPr>
              <w:t>部门：廊坊市霸州市商务局（本级）</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155" w:hRule="atLeast"/>
          <w:jc w:val="center"/>
        </w:trPr>
        <w:tc>
          <w:tcPr>
            <w:tcW w:w="8940" w:type="dxa"/>
            <w:gridSpan w:val="8"/>
            <w:tcBorders>
              <w:top w:val="nil"/>
              <w:left w:val="nil"/>
              <w:bottom w:val="nil"/>
              <w:right w:val="nil"/>
            </w:tcBorders>
            <w:shd w:val="clear" w:color="auto" w:fill="auto"/>
            <w:noWrap/>
            <w:tcMar>
              <w:top w:w="15" w:type="dxa"/>
              <w:left w:w="15" w:type="dxa"/>
              <w:right w:w="15" w:type="dxa"/>
            </w:tcMar>
            <w:vAlign w:val="center"/>
          </w:tcPr>
          <w:tbl>
            <w:tblPr>
              <w:tblStyle w:val="12"/>
              <w:tblW w:w="8926" w:type="dxa"/>
              <w:tblInd w:w="0" w:type="dxa"/>
              <w:tblLayout w:type="fixed"/>
              <w:tblCellMar>
                <w:top w:w="0" w:type="dxa"/>
                <w:left w:w="108" w:type="dxa"/>
                <w:bottom w:w="0" w:type="dxa"/>
                <w:right w:w="108" w:type="dxa"/>
              </w:tblCellMar>
            </w:tblPr>
            <w:tblGrid>
              <w:gridCol w:w="2263"/>
              <w:gridCol w:w="426"/>
              <w:gridCol w:w="992"/>
              <w:gridCol w:w="2268"/>
              <w:gridCol w:w="425"/>
              <w:gridCol w:w="992"/>
              <w:gridCol w:w="993"/>
              <w:gridCol w:w="567"/>
            </w:tblGrid>
            <w:tr>
              <w:tblPrEx>
                <w:tblCellMar>
                  <w:top w:w="0" w:type="dxa"/>
                  <w:left w:w="108" w:type="dxa"/>
                  <w:bottom w:w="0" w:type="dxa"/>
                  <w:right w:w="108" w:type="dxa"/>
                </w:tblCellMar>
              </w:tblPrEx>
              <w:trPr>
                <w:trHeight w:val="308" w:hRule="atLeast"/>
              </w:trPr>
              <w:tc>
                <w:tcPr>
                  <w:tcW w:w="36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收     入</w:t>
                  </w:r>
                </w:p>
              </w:tc>
              <w:tc>
                <w:tcPr>
                  <w:tcW w:w="5245"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支     出</w:t>
                  </w:r>
                </w:p>
              </w:tc>
            </w:tr>
            <w:tr>
              <w:tblPrEx>
                <w:tblCellMar>
                  <w:top w:w="0" w:type="dxa"/>
                  <w:left w:w="108" w:type="dxa"/>
                  <w:bottom w:w="0" w:type="dxa"/>
                  <w:right w:w="108" w:type="dxa"/>
                </w:tblCellMar>
              </w:tblPrEx>
              <w:trPr>
                <w:trHeight w:val="312" w:hRule="atLeast"/>
              </w:trPr>
              <w:tc>
                <w:tcPr>
                  <w:tcW w:w="226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426"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992"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金额</w:t>
                  </w:r>
                </w:p>
              </w:tc>
              <w:tc>
                <w:tcPr>
                  <w:tcW w:w="2268"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项目</w:t>
                  </w:r>
                </w:p>
              </w:tc>
              <w:tc>
                <w:tcPr>
                  <w:tcW w:w="425"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992" w:type="dxa"/>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合计</w:t>
                  </w:r>
                </w:p>
              </w:tc>
              <w:tc>
                <w:tcPr>
                  <w:tcW w:w="993"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一般公共预算财政拨款</w:t>
                  </w:r>
                </w:p>
              </w:tc>
              <w:tc>
                <w:tcPr>
                  <w:tcW w:w="567"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政府性基金预算财政拨款</w:t>
                  </w:r>
                </w:p>
              </w:tc>
            </w:tr>
            <w:tr>
              <w:tblPrEx>
                <w:tblCellMar>
                  <w:top w:w="0" w:type="dxa"/>
                  <w:left w:w="108" w:type="dxa"/>
                  <w:bottom w:w="0" w:type="dxa"/>
                  <w:right w:w="108" w:type="dxa"/>
                </w:tblCellMar>
              </w:tblPrEx>
              <w:trPr>
                <w:trHeight w:val="338" w:hRule="atLeast"/>
              </w:trPr>
              <w:tc>
                <w:tcPr>
                  <w:tcW w:w="2263"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6"/>
                      <w:szCs w:val="16"/>
                    </w:rPr>
                  </w:pPr>
                </w:p>
              </w:tc>
              <w:tc>
                <w:tcPr>
                  <w:tcW w:w="426"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6"/>
                      <w:szCs w:val="16"/>
                    </w:rPr>
                  </w:pPr>
                </w:p>
              </w:tc>
              <w:tc>
                <w:tcPr>
                  <w:tcW w:w="992"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6"/>
                      <w:szCs w:val="16"/>
                    </w:rPr>
                  </w:pPr>
                </w:p>
              </w:tc>
              <w:tc>
                <w:tcPr>
                  <w:tcW w:w="2268"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6"/>
                      <w:szCs w:val="16"/>
                    </w:rPr>
                  </w:pPr>
                </w:p>
              </w:tc>
              <w:tc>
                <w:tcPr>
                  <w:tcW w:w="425"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6"/>
                      <w:szCs w:val="16"/>
                    </w:rPr>
                  </w:pPr>
                </w:p>
              </w:tc>
              <w:tc>
                <w:tcPr>
                  <w:tcW w:w="992"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6"/>
                      <w:szCs w:val="16"/>
                    </w:rPr>
                  </w:pPr>
                </w:p>
              </w:tc>
              <w:tc>
                <w:tcPr>
                  <w:tcW w:w="993"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6"/>
                      <w:szCs w:val="16"/>
                    </w:rPr>
                  </w:pPr>
                </w:p>
              </w:tc>
              <w:tc>
                <w:tcPr>
                  <w:tcW w:w="567"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栏次</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　</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一、一般公共预算财政拨款</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1,051.75</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一、一般公共服务支出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29</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612.08</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612.08</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二、政府性基金预算财政拨款</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二、外交支出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30</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三、国防支出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31</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四、公共安全支出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32</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五、教育支出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33</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六、科学技术支出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34</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7</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七、文化体育与传媒支出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35</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8</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八、社会保障和就业支出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36</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9</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九、医疗卫生与计划生育支出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37</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10</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十、节能环保支出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38</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210.00</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210.00</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11</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十一、城乡社区支出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39</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12</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十二、农林水支出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40</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13</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十三、交通运输支出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41</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14</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十四、资源勘探信息等支出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42</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15</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十五、商业服务业等支出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43</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463.59</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463.59</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16</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十六、金融支出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44</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17</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十七、援助其他地区支出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45</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18</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十八、国土海洋气象等支出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46</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19</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十九、住房保障支出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47</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20</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二十、粮油物资储备支出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48</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21</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二十一、其他支出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49</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22</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二十二、债务还本支出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50</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23</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二十三、债务付息支出</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51</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16"/>
                      <w:szCs w:val="16"/>
                    </w:rPr>
                  </w:pPr>
                  <w:r>
                    <w:rPr>
                      <w:rFonts w:hint="eastAsia" w:ascii="宋体" w:hAnsi="宋体" w:cs="Arial"/>
                      <w:b/>
                      <w:bCs/>
                      <w:color w:val="000000"/>
                      <w:kern w:val="0"/>
                      <w:sz w:val="16"/>
                      <w:szCs w:val="16"/>
                    </w:rPr>
                    <w:t>本年收入合计</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24</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1,051.75</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16"/>
                      <w:szCs w:val="16"/>
                    </w:rPr>
                  </w:pPr>
                  <w:r>
                    <w:rPr>
                      <w:rFonts w:hint="eastAsia" w:ascii="宋体" w:hAnsi="宋体" w:cs="Arial"/>
                      <w:b/>
                      <w:bCs/>
                      <w:color w:val="000000"/>
                      <w:kern w:val="0"/>
                      <w:sz w:val="16"/>
                      <w:szCs w:val="16"/>
                    </w:rPr>
                    <w:t>本年支出合计</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52</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1,285.67</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1,285.67</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年初财政拨款结转和结余</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25</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339.51</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年末财政拨款结转和结余</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53</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105.59</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105.59</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xml:space="preserve">  一般公共预算财政拨款</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26</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339.51</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54</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xml:space="preserve">  政府性基金预算财政拨款</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27</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16"/>
                      <w:szCs w:val="16"/>
                    </w:rPr>
                  </w:pPr>
                  <w:r>
                    <w:rPr>
                      <w:rFonts w:hint="eastAsia" w:ascii="宋体" w:hAnsi="宋体" w:cs="Arial"/>
                      <w:color w:val="000000"/>
                      <w:kern w:val="0"/>
                      <w:sz w:val="16"/>
                      <w:szCs w:val="16"/>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55</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3"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16"/>
                      <w:szCs w:val="16"/>
                    </w:rPr>
                  </w:pPr>
                  <w:r>
                    <w:rPr>
                      <w:rFonts w:hint="eastAsia" w:ascii="宋体" w:hAnsi="宋体" w:cs="Arial"/>
                      <w:b/>
                      <w:bCs/>
                      <w:color w:val="000000"/>
                      <w:kern w:val="0"/>
                      <w:sz w:val="16"/>
                      <w:szCs w:val="16"/>
                    </w:rPr>
                    <w:t>总计</w:t>
                  </w:r>
                </w:p>
              </w:tc>
              <w:tc>
                <w:tcPr>
                  <w:tcW w:w="426"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28</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1,391.26</w:t>
                  </w:r>
                </w:p>
              </w:tc>
              <w:tc>
                <w:tcPr>
                  <w:tcW w:w="2268"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b/>
                      <w:bCs/>
                      <w:color w:val="000000"/>
                      <w:kern w:val="0"/>
                      <w:sz w:val="16"/>
                      <w:szCs w:val="16"/>
                    </w:rPr>
                  </w:pPr>
                  <w:r>
                    <w:rPr>
                      <w:rFonts w:hint="eastAsia" w:ascii="宋体" w:hAnsi="宋体" w:cs="Arial"/>
                      <w:b/>
                      <w:bCs/>
                      <w:color w:val="000000"/>
                      <w:kern w:val="0"/>
                      <w:sz w:val="16"/>
                      <w:szCs w:val="16"/>
                    </w:rPr>
                    <w:t>总计</w:t>
                  </w:r>
                </w:p>
              </w:tc>
              <w:tc>
                <w:tcPr>
                  <w:tcW w:w="42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16"/>
                      <w:szCs w:val="16"/>
                    </w:rPr>
                  </w:pPr>
                  <w:r>
                    <w:rPr>
                      <w:rFonts w:hint="eastAsia" w:ascii="宋体" w:hAnsi="宋体" w:cs="Arial"/>
                      <w:color w:val="000000"/>
                      <w:kern w:val="0"/>
                      <w:sz w:val="16"/>
                      <w:szCs w:val="16"/>
                    </w:rPr>
                    <w:t>56</w:t>
                  </w:r>
                </w:p>
              </w:tc>
              <w:tc>
                <w:tcPr>
                  <w:tcW w:w="992"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1,391.26</w:t>
                  </w:r>
                </w:p>
              </w:tc>
              <w:tc>
                <w:tcPr>
                  <w:tcW w:w="993"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1,391.26</w:t>
                  </w:r>
                </w:p>
              </w:tc>
              <w:tc>
                <w:tcPr>
                  <w:tcW w:w="567"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16"/>
                      <w:szCs w:val="16"/>
                    </w:rPr>
                  </w:pPr>
                  <w:r>
                    <w:rPr>
                      <w:rFonts w:hint="eastAsia" w:ascii="宋体" w:hAnsi="宋体" w:cs="Arial"/>
                      <w:color w:val="000000"/>
                      <w:kern w:val="0"/>
                      <w:sz w:val="16"/>
                      <w:szCs w:val="16"/>
                    </w:rPr>
                    <w:t>　</w:t>
                  </w:r>
                </w:p>
              </w:tc>
            </w:tr>
          </w:tbl>
          <w:p>
            <w:pPr>
              <w:widowControl/>
              <w:spacing w:after="0" w:line="240" w:lineRule="atLeast"/>
              <w:jc w:val="left"/>
              <w:textAlignment w:val="center"/>
              <w:rPr>
                <w:rFonts w:ascii="宋体" w:hAnsi="宋体" w:cs="宋体"/>
                <w:color w:val="000000"/>
                <w:kern w:val="0"/>
                <w:sz w:val="18"/>
                <w:szCs w:val="18"/>
              </w:rPr>
            </w:pPr>
          </w:p>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1644" w:right="964" w:bottom="1644" w:left="964"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892"/>
        <w:gridCol w:w="3121"/>
      </w:tblGrid>
      <w:tr>
        <w:tblPrEx>
          <w:tblCellMar>
            <w:top w:w="0" w:type="dxa"/>
            <w:left w:w="0" w:type="dxa"/>
            <w:bottom w:w="0" w:type="dxa"/>
            <w:right w:w="0" w:type="dxa"/>
          </w:tblCellMar>
        </w:tblPrEx>
        <w:trPr>
          <w:trHeight w:val="600" w:hRule="atLeast"/>
        </w:trPr>
        <w:tc>
          <w:tcPr>
            <w:tcW w:w="8860" w:type="dxa"/>
            <w:gridSpan w:val="7"/>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部门：廊坊市霸州市商务局（本级）</w:t>
            </w:r>
          </w:p>
        </w:tc>
        <w:tc>
          <w:tcPr>
            <w:tcW w:w="189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68" w:hRule="atLeast"/>
        </w:trPr>
        <w:tc>
          <w:tcPr>
            <w:tcW w:w="8860" w:type="dxa"/>
            <w:gridSpan w:val="7"/>
            <w:tcBorders>
              <w:top w:val="nil"/>
              <w:left w:val="nil"/>
              <w:bottom w:val="nil"/>
              <w:right w:val="nil"/>
            </w:tcBorders>
            <w:shd w:val="clear" w:color="auto" w:fill="auto"/>
            <w:noWrap/>
            <w:tcMar>
              <w:top w:w="15" w:type="dxa"/>
              <w:left w:w="15" w:type="dxa"/>
              <w:right w:w="15" w:type="dxa"/>
            </w:tcMar>
            <w:vAlign w:val="center"/>
          </w:tcPr>
          <w:tbl>
            <w:tblPr>
              <w:tblStyle w:val="12"/>
              <w:tblW w:w="8784" w:type="dxa"/>
              <w:tblInd w:w="0" w:type="dxa"/>
              <w:tblLayout w:type="fixed"/>
              <w:tblCellMar>
                <w:top w:w="0" w:type="dxa"/>
                <w:left w:w="108" w:type="dxa"/>
                <w:bottom w:w="0" w:type="dxa"/>
                <w:right w:w="108" w:type="dxa"/>
              </w:tblCellMar>
            </w:tblPr>
            <w:tblGrid>
              <w:gridCol w:w="1129"/>
              <w:gridCol w:w="2835"/>
              <w:gridCol w:w="1560"/>
              <w:gridCol w:w="1559"/>
              <w:gridCol w:w="1701"/>
            </w:tblGrid>
            <w:tr>
              <w:tblPrEx>
                <w:tblCellMar>
                  <w:top w:w="0" w:type="dxa"/>
                  <w:left w:w="108" w:type="dxa"/>
                  <w:bottom w:w="0" w:type="dxa"/>
                  <w:right w:w="108" w:type="dxa"/>
                </w:tblCellMar>
              </w:tblPrEx>
              <w:trPr>
                <w:trHeight w:val="308" w:hRule="atLeast"/>
              </w:trPr>
              <w:tc>
                <w:tcPr>
                  <w:tcW w:w="39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项目</w:t>
                  </w:r>
                </w:p>
              </w:tc>
              <w:tc>
                <w:tcPr>
                  <w:tcW w:w="4820" w:type="dxa"/>
                  <w:gridSpan w:val="3"/>
                  <w:tcBorders>
                    <w:top w:val="single" w:color="000000" w:sz="4" w:space="0"/>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本年支出</w:t>
                  </w:r>
                </w:p>
              </w:tc>
            </w:tr>
            <w:tr>
              <w:tblPrEx>
                <w:tblCellMar>
                  <w:top w:w="0" w:type="dxa"/>
                  <w:left w:w="108" w:type="dxa"/>
                  <w:bottom w:w="0" w:type="dxa"/>
                  <w:right w:w="108" w:type="dxa"/>
                </w:tblCellMar>
              </w:tblPrEx>
              <w:trPr>
                <w:trHeight w:val="312" w:hRule="atLeast"/>
              </w:trPr>
              <w:tc>
                <w:tcPr>
                  <w:tcW w:w="112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功能分类科目编码</w:t>
                  </w:r>
                </w:p>
              </w:tc>
              <w:tc>
                <w:tcPr>
                  <w:tcW w:w="2835" w:type="dxa"/>
                  <w:vMerge w:val="restart"/>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科目名称</w:t>
                  </w:r>
                </w:p>
              </w:tc>
              <w:tc>
                <w:tcPr>
                  <w:tcW w:w="1560"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小计</w:t>
                  </w:r>
                </w:p>
              </w:tc>
              <w:tc>
                <w:tcPr>
                  <w:tcW w:w="1559"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基本支出</w:t>
                  </w:r>
                </w:p>
              </w:tc>
              <w:tc>
                <w:tcPr>
                  <w:tcW w:w="1701" w:type="dxa"/>
                  <w:vMerge w:val="restart"/>
                  <w:tcBorders>
                    <w:top w:val="nil"/>
                    <w:left w:val="nil"/>
                    <w:bottom w:val="single" w:color="000000" w:sz="4" w:space="0"/>
                    <w:right w:val="single" w:color="000000" w:sz="4" w:space="0"/>
                  </w:tcBorders>
                  <w:shd w:val="clear" w:color="auto" w:fill="auto"/>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项目支出</w:t>
                  </w:r>
                </w:p>
              </w:tc>
            </w:tr>
            <w:tr>
              <w:tblPrEx>
                <w:tblCellMar>
                  <w:top w:w="0" w:type="dxa"/>
                  <w:left w:w="108" w:type="dxa"/>
                  <w:bottom w:w="0" w:type="dxa"/>
                  <w:right w:w="108" w:type="dxa"/>
                </w:tblCellMar>
              </w:tblPrEx>
              <w:trPr>
                <w:trHeight w:val="312" w:hRule="atLeast"/>
              </w:trPr>
              <w:tc>
                <w:tcPr>
                  <w:tcW w:w="1129" w:type="dxa"/>
                  <w:vMerge w:val="continue"/>
                  <w:tcBorders>
                    <w:top w:val="nil"/>
                    <w:left w:val="single" w:color="000000" w:sz="4" w:space="0"/>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2835"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1560"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1559"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c>
                <w:tcPr>
                  <w:tcW w:w="1701" w:type="dxa"/>
                  <w:vMerge w:val="continue"/>
                  <w:tcBorders>
                    <w:top w:val="nil"/>
                    <w:left w:val="nil"/>
                    <w:bottom w:val="single" w:color="000000" w:sz="4" w:space="0"/>
                    <w:right w:val="single" w:color="000000" w:sz="4" w:space="0"/>
                  </w:tcBorders>
                  <w:vAlign w:val="center"/>
                </w:tcPr>
                <w:p>
                  <w:pPr>
                    <w:widowControl/>
                    <w:spacing w:after="0" w:line="240" w:lineRule="auto"/>
                    <w:jc w:val="left"/>
                    <w:rPr>
                      <w:rFonts w:ascii="宋体" w:hAnsi="宋体" w:cs="Arial"/>
                      <w:color w:val="000000"/>
                      <w:kern w:val="0"/>
                      <w:sz w:val="20"/>
                      <w:szCs w:val="20"/>
                    </w:rPr>
                  </w:pPr>
                </w:p>
              </w:tc>
            </w:tr>
            <w:tr>
              <w:tblPrEx>
                <w:tblCellMar>
                  <w:top w:w="0" w:type="dxa"/>
                  <w:left w:w="108" w:type="dxa"/>
                  <w:bottom w:w="0" w:type="dxa"/>
                  <w:right w:w="108" w:type="dxa"/>
                </w:tblCellMar>
              </w:tblPrEx>
              <w:trPr>
                <w:trHeight w:val="308" w:hRule="atLeast"/>
              </w:trPr>
              <w:tc>
                <w:tcPr>
                  <w:tcW w:w="396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栏次</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3</w:t>
                  </w:r>
                </w:p>
              </w:tc>
            </w:tr>
            <w:tr>
              <w:tblPrEx>
                <w:tblCellMar>
                  <w:top w:w="0" w:type="dxa"/>
                  <w:left w:w="108" w:type="dxa"/>
                  <w:bottom w:w="0" w:type="dxa"/>
                  <w:right w:w="108" w:type="dxa"/>
                </w:tblCellMar>
              </w:tblPrEx>
              <w:trPr>
                <w:trHeight w:val="308" w:hRule="atLeast"/>
              </w:trPr>
              <w:tc>
                <w:tcPr>
                  <w:tcW w:w="396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center"/>
                    <w:rPr>
                      <w:rFonts w:ascii="宋体" w:hAnsi="宋体" w:cs="Arial"/>
                      <w:color w:val="000000"/>
                      <w:kern w:val="0"/>
                      <w:sz w:val="20"/>
                      <w:szCs w:val="20"/>
                    </w:rPr>
                  </w:pPr>
                  <w:r>
                    <w:rPr>
                      <w:rFonts w:hint="eastAsia" w:ascii="宋体" w:hAnsi="宋体" w:cs="Arial"/>
                      <w:color w:val="000000"/>
                      <w:kern w:val="0"/>
                      <w:sz w:val="20"/>
                      <w:szCs w:val="20"/>
                    </w:rPr>
                    <w:t>合计</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1,285.67</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609.99</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b/>
                      <w:bCs/>
                      <w:color w:val="000000"/>
                      <w:kern w:val="0"/>
                      <w:sz w:val="20"/>
                      <w:szCs w:val="20"/>
                    </w:rPr>
                  </w:pPr>
                  <w:r>
                    <w:rPr>
                      <w:rFonts w:hint="eastAsia" w:ascii="宋体" w:hAnsi="宋体" w:cs="Arial"/>
                      <w:b/>
                      <w:bCs/>
                      <w:color w:val="000000"/>
                      <w:kern w:val="0"/>
                      <w:sz w:val="20"/>
                      <w:szCs w:val="20"/>
                    </w:rPr>
                    <w:t>675.68</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一般公共服务支出</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612.08</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609.99</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2.09</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商贸事务</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612.08</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609.99</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2.09</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2011301</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行政运行</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609.99</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609.99</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2011302</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一般行政管理事务</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0.96</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0.96</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2011304</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对外贸易管理</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1.13</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1.13</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211</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节能环保支出</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21103</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污染防治</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2110301</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大气</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210.00</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216</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商业服务业等支出</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21606</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涉外发展服务支出</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2160699</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xml:space="preserve">  其他涉外发展服务支出</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463.59</w:t>
                  </w:r>
                </w:p>
              </w:tc>
            </w:tr>
            <w:tr>
              <w:tblPrEx>
                <w:tblCellMar>
                  <w:top w:w="0" w:type="dxa"/>
                  <w:left w:w="108" w:type="dxa"/>
                  <w:bottom w:w="0" w:type="dxa"/>
                  <w:right w:w="108" w:type="dxa"/>
                </w:tblCellMar>
              </w:tblPrEx>
              <w:trPr>
                <w:trHeight w:val="308" w:hRule="atLeast"/>
              </w:trPr>
              <w:tc>
                <w:tcPr>
                  <w:tcW w:w="1129" w:type="dxa"/>
                  <w:tcBorders>
                    <w:top w:val="nil"/>
                    <w:left w:val="single" w:color="000000" w:sz="4" w:space="0"/>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2835"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560"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1701" w:type="dxa"/>
                  <w:tcBorders>
                    <w:top w:val="nil"/>
                    <w:left w:val="nil"/>
                    <w:bottom w:val="single" w:color="000000" w:sz="4" w:space="0"/>
                    <w:right w:val="single" w:color="000000" w:sz="4" w:space="0"/>
                  </w:tcBorders>
                  <w:shd w:val="clear" w:color="auto" w:fill="auto"/>
                  <w:noWrap/>
                  <w:vAlign w:val="center"/>
                </w:tcPr>
                <w:p>
                  <w:pPr>
                    <w:widowControl/>
                    <w:spacing w:after="0" w:line="240" w:lineRule="auto"/>
                    <w:jc w:val="right"/>
                    <w:rPr>
                      <w:rFonts w:ascii="宋体" w:hAnsi="宋体" w:cs="Arial"/>
                      <w:color w:val="000000"/>
                      <w:kern w:val="0"/>
                      <w:sz w:val="20"/>
                      <w:szCs w:val="20"/>
                    </w:rPr>
                  </w:pPr>
                  <w:r>
                    <w:rPr>
                      <w:rFonts w:hint="eastAsia" w:ascii="宋体" w:hAnsi="宋体" w:cs="Arial"/>
                      <w:color w:val="000000"/>
                      <w:kern w:val="0"/>
                      <w:sz w:val="20"/>
                      <w:szCs w:val="20"/>
                    </w:rPr>
                    <w:t>　</w:t>
                  </w:r>
                </w:p>
              </w:tc>
            </w:tr>
          </w:tbl>
          <w:p>
            <w:pPr>
              <w:widowControl/>
              <w:spacing w:after="0" w:line="240" w:lineRule="atLeast"/>
              <w:jc w:val="left"/>
              <w:textAlignment w:val="center"/>
              <w:rPr>
                <w:rFonts w:ascii="宋体" w:hAnsi="宋体" w:cs="宋体"/>
                <w:color w:val="000000"/>
                <w:kern w:val="0"/>
                <w:szCs w:val="21"/>
              </w:rPr>
            </w:pPr>
          </w:p>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Cs w:val="21"/>
              </w:rPr>
              <w:t>廊坊市霸州市商务局（本级）</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513.21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58.73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179.49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3.37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56.93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0.95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3.48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0.20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78.23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1.14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79.11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3.04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6.86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23.94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22.98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0.95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1.99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3.57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46.21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1.66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37.95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38.04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0.76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37.16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5.71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6.69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7.32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0.20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551.26</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58.73</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廊坊市霸州市商务局（本级）</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8.03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7.50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ind w:right="105"/>
              <w:jc w:val="right"/>
              <w:rPr>
                <w:rFonts w:ascii="宋体" w:hAnsi="宋体" w:cs="宋体"/>
                <w:color w:val="000000"/>
                <w:szCs w:val="21"/>
              </w:rPr>
            </w:pPr>
            <w:r>
              <w:rPr>
                <w:rFonts w:hint="eastAsia" w:ascii="宋体" w:hAnsi="宋体" w:cs="宋体"/>
                <w:color w:val="000000"/>
                <w:szCs w:val="21"/>
              </w:rPr>
              <w:t>7.50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0.53</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6.69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6.69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6.69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部门：廊坊市霸州市商务局（本级）</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注：本表反映部门本年度政府性基金预算财政拨款收入、支出及结转和结余情况。</w:t>
            </w:r>
            <w:r>
              <w:rPr>
                <w:rFonts w:hint="eastAsia" w:ascii="宋体" w:hAnsi="宋体" w:cs="宋体"/>
                <w:color w:val="000000"/>
                <w:kern w:val="0"/>
                <w:sz w:val="22"/>
                <w:szCs w:val="22"/>
              </w:rPr>
              <w:t>本部门本年度无政府性基金预算财政拨款收入支出，按要求空表列示。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728"/>
        <w:gridCol w:w="1170"/>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1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29"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833"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Cs w:val="21"/>
              </w:rPr>
              <w:t>廊坊市霸州市商务局（本级）</w:t>
            </w:r>
          </w:p>
        </w:tc>
        <w:tc>
          <w:tcPr>
            <w:tcW w:w="1529"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注：本表反映部门本年度国有资本经营预算财政拨款支出情况。本部门本年度无国有资本经营预算财政拨款支出，按要求空表列示。</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编制单位：廊坊市霸州市商务局（本级）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注：本表反映部门本年度纳入部门预算范围的政府采购预算及支出情况。</w:t>
            </w:r>
            <w:r>
              <w:rPr>
                <w:rFonts w:hint="eastAsia" w:ascii="宋体" w:hAnsi="宋体" w:cs="宋体"/>
                <w:color w:val="000000"/>
                <w:kern w:val="0"/>
                <w:sz w:val="22"/>
                <w:szCs w:val="22"/>
              </w:rPr>
              <w:t>本部门本年度无政府采购支出，按要求空表列示。</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本部门2018年度年初结转和结余339.51万元，本年收入1051.76万元，本年支出1285.68万元，年末结转和结余105.59万元。与2017年度决算相比，本年收入减少379.37万元，下降26.5%，主要是中央外经贸发展专项资金等项目收入减少。本年支出增加106.18万元，增加9.0%，主要是人员经费支出增加，非法加油站、点（流动加油车）拆除取缔“以奖代补”资金、中央外经贸发展专项资金等项目支出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本部门2018年度本年收入合计1051.76万元，其中：财政拨款收入1051.75万元，占100.0%；事业收入0万元，占0.0%；经营收入0万元，占0.0%；其他收入0.01万元，占0.0%。如表所示：</w:t>
      </w:r>
    </w:p>
    <w:tbl>
      <w:tblPr>
        <w:tblStyle w:val="12"/>
        <w:tblW w:w="8874" w:type="dxa"/>
        <w:tblInd w:w="0" w:type="dxa"/>
        <w:tblLayout w:type="fixed"/>
        <w:tblCellMar>
          <w:top w:w="15" w:type="dxa"/>
          <w:left w:w="15" w:type="dxa"/>
          <w:bottom w:w="15" w:type="dxa"/>
          <w:right w:w="15" w:type="dxa"/>
        </w:tblCellMar>
      </w:tblPr>
      <w:tblGrid>
        <w:gridCol w:w="2267"/>
        <w:gridCol w:w="1731"/>
        <w:gridCol w:w="1560"/>
        <w:gridCol w:w="1560"/>
        <w:gridCol w:w="1756"/>
      </w:tblGrid>
      <w:tr>
        <w:trPr>
          <w:trHeight w:val="286" w:hRule="atLeast"/>
        </w:trPr>
        <w:tc>
          <w:tcPr>
            <w:tcW w:w="8874" w:type="dxa"/>
            <w:gridSpan w:val="5"/>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表1：收入决算结构</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1051.75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0.01</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0.0</w:t>
            </w: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本部门2018年度本年支出合计1285.68万元，其中：基本支出610万元，占47.4%；项目支出675.68万元，占52.6%；经营支出0万元，占0.0%。如表所示：</w:t>
      </w:r>
    </w:p>
    <w:p>
      <w:pPr>
        <w:adjustRightInd w:val="0"/>
        <w:snapToGrid w:val="0"/>
        <w:spacing w:after="0" w:line="580" w:lineRule="exact"/>
        <w:ind w:firstLine="640" w:firstLineChars="200"/>
        <w:rPr>
          <w:rFonts w:ascii="仿宋_GB2312" w:eastAsia="仿宋_GB2312" w:cs="DengXian-Regular"/>
          <w:sz w:val="32"/>
          <w:szCs w:val="32"/>
        </w:rPr>
      </w:pPr>
    </w:p>
    <w:tbl>
      <w:tblPr>
        <w:tblStyle w:val="12"/>
        <w:tblW w:w="8874" w:type="dxa"/>
        <w:tblInd w:w="0" w:type="dxa"/>
        <w:tblLayout w:type="fixed"/>
        <w:tblCellMar>
          <w:top w:w="15" w:type="dxa"/>
          <w:left w:w="15" w:type="dxa"/>
          <w:bottom w:w="15" w:type="dxa"/>
          <w:right w:w="15" w:type="dxa"/>
        </w:tblCellMar>
      </w:tblPr>
      <w:tblGrid>
        <w:gridCol w:w="2493"/>
        <w:gridCol w:w="2300"/>
        <w:gridCol w:w="2070"/>
        <w:gridCol w:w="2011"/>
      </w:tblGrid>
      <w:tr>
        <w:tblPrEx>
          <w:tblCellMar>
            <w:top w:w="15" w:type="dxa"/>
            <w:left w:w="15" w:type="dxa"/>
            <w:bottom w:w="15" w:type="dxa"/>
            <w:right w:w="15" w:type="dxa"/>
          </w:tblCellMar>
        </w:tblPrEx>
        <w:trPr>
          <w:trHeight w:val="286" w:hRule="atLeast"/>
        </w:trPr>
        <w:tc>
          <w:tcPr>
            <w:tcW w:w="8874" w:type="dxa"/>
            <w:gridSpan w:val="4"/>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表2：支出决算结构</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610</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675.68</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47.4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52.6</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本部门2018年度形成的财政拨款收支均为一般公共预算财政拨款，其中一般公共预算财政拨款本年收入1051.75万元,比2017年度减少379.38万元，降低26.5%，主要是中央外经贸发展专项资金等项目收入减少；本年支出1285.67万元，增加106.17万元，增长9.0%，主要是非法加油站、点（流动加油车）拆除取缔“以奖代补”资金、中央外经贸发展专项资金等项目支出增加。</w:t>
      </w:r>
    </w:p>
    <w:p>
      <w:pPr>
        <w:adjustRightInd w:val="0"/>
        <w:snapToGrid w:val="0"/>
        <w:spacing w:after="0" w:line="580" w:lineRule="exact"/>
        <w:ind w:firstLine="640" w:firstLineChars="200"/>
        <w:rPr>
          <w:rFonts w:ascii="仿宋_GB2312" w:eastAsia="仿宋_GB2312" w:cs="DengXian-Regular"/>
          <w:sz w:val="32"/>
          <w:szCs w:val="32"/>
        </w:rPr>
      </w:pPr>
    </w:p>
    <w:tbl>
      <w:tblPr>
        <w:tblStyle w:val="12"/>
        <w:tblW w:w="8874" w:type="dxa"/>
        <w:tblInd w:w="0" w:type="dxa"/>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CellMar>
            <w:top w:w="15" w:type="dxa"/>
            <w:left w:w="15" w:type="dxa"/>
            <w:bottom w:w="15" w:type="dxa"/>
            <w:right w:w="15" w:type="dxa"/>
          </w:tblCellMar>
        </w:tblPrEx>
        <w:trPr>
          <w:trHeight w:val="375" w:hRule="atLeast"/>
        </w:trPr>
        <w:tc>
          <w:tcPr>
            <w:tcW w:w="8874" w:type="dxa"/>
            <w:gridSpan w:val="7"/>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ascii="宋体" w:hAnsi="宋体" w:cs="宋体"/>
                <w:sz w:val="32"/>
                <w:szCs w:val="32"/>
              </w:rPr>
              <w:t>表3：2017-2018年财政拨款收支情况</w:t>
            </w:r>
          </w:p>
        </w:tc>
      </w:tr>
      <w:tr>
        <w:tblPrEx>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2017年（万元）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1431.13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1431.13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1179.5</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1051.75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1051.75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1285.67</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-26.5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-26.5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9.0</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bl>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本部门2018年度一般公共预算财政拨款收入1051.75万元，完成年初预算的133.3%,比年初预算增加262.73万元，决算数大于预算数主要是人员经费收入增加，非法加油站、点（流动加油车）拆除取缔“以奖代补”资金、中央外经贸发展专项资金等项目收入增加；本年支出1285.67万元，完成年初预算的162.9%,比年初预算增加496.65万元，决算数大于预算数主要是人员经费支出增加，非法加油站、点（流动加油车）拆除取缔“以奖代补”资金、中央外经贸发展专项资金等项目支出增加。</w:t>
      </w:r>
    </w:p>
    <w:tbl>
      <w:tblPr>
        <w:tblStyle w:val="12"/>
        <w:tblW w:w="9045" w:type="dxa"/>
        <w:tblInd w:w="0" w:type="dxa"/>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CellMar>
            <w:top w:w="15" w:type="dxa"/>
            <w:left w:w="15" w:type="dxa"/>
            <w:bottom w:w="15" w:type="dxa"/>
            <w:right w:w="15" w:type="dxa"/>
          </w:tblCellMar>
        </w:tblPrEx>
        <w:trPr>
          <w:trHeight w:val="510" w:hRule="atLeast"/>
        </w:trPr>
        <w:tc>
          <w:tcPr>
            <w:tcW w:w="9045" w:type="dxa"/>
            <w:gridSpan w:val="7"/>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表4：财政拨款收支预决算对比情况</w:t>
            </w:r>
          </w:p>
        </w:tc>
      </w:tr>
      <w:tr>
        <w:tblPrEx>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789.02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789.02</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789.02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789.02</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1051.75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1051.75</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1285.67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1285.67</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p>
        </w:tc>
      </w:tr>
    </w:tbl>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2018 年度财政拨款支出1285.67万元，主要用于以下方面：一般公共服务（类）支出612.08万元，占47.6%；节能环保支出210万元，占16.3%；商业服务业等支出463.59万元，占36.1%。</w:t>
      </w:r>
    </w:p>
    <w:tbl>
      <w:tblPr>
        <w:tblStyle w:val="12"/>
        <w:tblW w:w="8874" w:type="dxa"/>
        <w:tblInd w:w="0" w:type="dxa"/>
        <w:tblLayout w:type="fixed"/>
        <w:tblCellMar>
          <w:top w:w="15" w:type="dxa"/>
          <w:left w:w="15" w:type="dxa"/>
          <w:bottom w:w="15" w:type="dxa"/>
          <w:right w:w="15" w:type="dxa"/>
        </w:tblCellMar>
      </w:tblPr>
      <w:tblGrid>
        <w:gridCol w:w="2021"/>
        <w:gridCol w:w="2530"/>
        <w:gridCol w:w="1843"/>
        <w:gridCol w:w="1843"/>
        <w:gridCol w:w="637"/>
      </w:tblGrid>
      <w:tr>
        <w:tblPrEx>
          <w:tblCellMar>
            <w:top w:w="15" w:type="dxa"/>
            <w:left w:w="15" w:type="dxa"/>
            <w:bottom w:w="15" w:type="dxa"/>
            <w:right w:w="15" w:type="dxa"/>
          </w:tblCellMar>
        </w:tblPrEx>
        <w:trPr>
          <w:trHeight w:val="286" w:hRule="atLeast"/>
        </w:trPr>
        <w:tc>
          <w:tcPr>
            <w:tcW w:w="8874" w:type="dxa"/>
            <w:gridSpan w:val="5"/>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表5：财政拨款支出决算结构（按功能分类）</w:t>
            </w:r>
          </w:p>
        </w:tc>
      </w:tr>
      <w:tr>
        <w:tblPrEx>
          <w:tblCellMar>
            <w:top w:w="15" w:type="dxa"/>
            <w:left w:w="15" w:type="dxa"/>
            <w:bottom w:w="15" w:type="dxa"/>
            <w:right w:w="15" w:type="dxa"/>
          </w:tblCellMar>
        </w:tblPrEx>
        <w:trPr>
          <w:gridAfter w:val="1"/>
          <w:wAfter w:w="637" w:type="dxa"/>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一般公共服务（类）支出</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节能环保支出</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商业服务业等支出</w:t>
            </w:r>
          </w:p>
        </w:tc>
      </w:tr>
      <w:tr>
        <w:tblPrEx>
          <w:tblCellMar>
            <w:top w:w="15" w:type="dxa"/>
            <w:left w:w="15" w:type="dxa"/>
            <w:bottom w:w="15" w:type="dxa"/>
            <w:right w:w="15" w:type="dxa"/>
          </w:tblCellMar>
        </w:tblPrEx>
        <w:trPr>
          <w:gridAfter w:val="1"/>
          <w:wAfter w:w="637" w:type="dxa"/>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612.08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210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463.59</w:t>
            </w:r>
          </w:p>
        </w:tc>
      </w:tr>
      <w:tr>
        <w:tblPrEx>
          <w:tblCellMar>
            <w:top w:w="15" w:type="dxa"/>
            <w:left w:w="15" w:type="dxa"/>
            <w:bottom w:w="15" w:type="dxa"/>
            <w:right w:w="15" w:type="dxa"/>
          </w:tblCellMar>
        </w:tblPrEx>
        <w:trPr>
          <w:gridAfter w:val="1"/>
          <w:wAfter w:w="637" w:type="dxa"/>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2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47.6</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16.3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4"/>
              </w:rPr>
            </w:pPr>
            <w:r>
              <w:rPr>
                <w:rFonts w:hint="eastAsia" w:ascii="宋体" w:hAnsi="宋体" w:cs="宋体"/>
                <w:color w:val="000000"/>
                <w:sz w:val="24"/>
              </w:rPr>
              <w:t>36.1</w:t>
            </w:r>
          </w:p>
        </w:tc>
      </w:tr>
    </w:tbl>
    <w:p>
      <w:pPr>
        <w:adjustRightInd w:val="0"/>
        <w:snapToGrid w:val="0"/>
        <w:spacing w:after="0" w:line="580" w:lineRule="exact"/>
        <w:ind w:left="420" w:leftChars="200"/>
        <w:rPr>
          <w:rFonts w:ascii="楷体_GB2312" w:cs="DengXian-Bold" w:eastAsiaTheme="minorEastAsia"/>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2018 年度一般公共预算财政拨款基本支出609.99万元，其中：人员经费551.26万元，主要包括基本工资、津贴补贴、奖金、绩效工资、机关事业单位基本养老保险缴费、职业年金缴费、职工基本医疗保险缴费、住房公积金、其他社会保障缴费、其他工资福利支出、生活补助、医疗费补助、奖励金、等；公用经费58.73万元，主要包括办公费、印刷费、咨询费、水费、电费、邮电费、取暖费、物业管理费、差旅费、维修（护）费、工会经费、公务用车运行维护费、其他交通费用、其他商品和服务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spacing w:after="0" w:line="240" w:lineRule="auto"/>
        <w:ind w:firstLine="640" w:firstLineChars="200"/>
        <w:rPr>
          <w:rFonts w:ascii="仿宋_GB2312" w:eastAsia="仿宋_GB2312"/>
          <w:sz w:val="32"/>
          <w:szCs w:val="32"/>
        </w:rPr>
      </w:pPr>
      <w:r>
        <w:rPr>
          <w:rFonts w:hint="eastAsia" w:ascii="仿宋_GB2312" w:eastAsia="仿宋_GB2312"/>
          <w:sz w:val="32"/>
          <w:szCs w:val="32"/>
        </w:rPr>
        <w:t>本部门2018年度一般公共预算财政拨款“三公”经费支出共计6.69万元，比年初预算减少1.34万元，降低16.7%，主要是公车运行维护费和公务接待费减少；比2017年度决算减少3.29万元，降低33.0%，主要是因公出国（境）费支出减少。具体情况如下：</w:t>
      </w:r>
    </w:p>
    <w:p>
      <w:pPr>
        <w:adjustRightInd w:val="0"/>
        <w:snapToGrid w:val="0"/>
        <w:spacing w:after="0" w:line="580" w:lineRule="exact"/>
        <w:ind w:firstLine="643" w:firstLineChars="200"/>
        <w:rPr>
          <w:rFonts w:ascii="仿宋_GB2312" w:eastAsia="仿宋_GB2312"/>
          <w:sz w:val="32"/>
          <w:szCs w:val="32"/>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hint="eastAsia" w:ascii="仿宋_GB2312" w:eastAsia="仿宋_GB2312"/>
          <w:sz w:val="32"/>
          <w:szCs w:val="32"/>
        </w:rPr>
        <w:t>本部门2018年度因公出国（境）团组0个、共0人/参加其他单位组织的因公出国（境）团组0个、共0人/无本单位组织的出国（境）团组。因公出国（境）费支出与年初预算持平；比2017年度决算减少3.31万元，降低100.0%，主要是本年度未发生因公出国（境）费支出。</w:t>
      </w:r>
    </w:p>
    <w:p>
      <w:pPr>
        <w:adjustRightInd w:val="0"/>
        <w:snapToGrid w:val="0"/>
        <w:spacing w:after="0" w:line="580" w:lineRule="exact"/>
        <w:ind w:firstLine="643" w:firstLineChars="200"/>
        <w:rPr>
          <w:rFonts w:ascii="仿宋_GB2312" w:eastAsia="仿宋_GB2312"/>
          <w:sz w:val="32"/>
          <w:szCs w:val="32"/>
        </w:rPr>
      </w:pPr>
      <w:r>
        <w:rPr>
          <w:rFonts w:eastAsia="楷体_GB2312"/>
          <w:b/>
          <w:bCs/>
          <w:sz w:val="32"/>
          <w:szCs w:val="32"/>
        </w:rPr>
        <w:t>（二）公务用车购置及运行维护费支出</w:t>
      </w:r>
      <w:r>
        <w:rPr>
          <w:rFonts w:hint="eastAsia" w:eastAsia="楷体_GB2312"/>
          <w:b/>
          <w:bCs/>
          <w:sz w:val="32"/>
          <w:szCs w:val="32"/>
        </w:rPr>
        <w:t>6.69</w:t>
      </w:r>
      <w:r>
        <w:rPr>
          <w:rFonts w:eastAsia="楷体_GB2312"/>
          <w:b/>
          <w:bCs/>
          <w:sz w:val="32"/>
          <w:szCs w:val="32"/>
        </w:rPr>
        <w:t>万元。</w:t>
      </w:r>
      <w:r>
        <w:rPr>
          <w:rFonts w:hint="eastAsia" w:ascii="仿宋_GB2312" w:eastAsia="仿宋_GB2312"/>
          <w:sz w:val="32"/>
          <w:szCs w:val="32"/>
        </w:rPr>
        <w:t>本部门2018年度公务用车购置及运行维护费比年初预算增减少0.81万元，降低10.8%,主要是公务用车运行维护费减少；比2017年度决算增加0.02万元，增长0%，主要是公务用车运行维护费稍有增加。其中：</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sz w:val="32"/>
          <w:szCs w:val="32"/>
        </w:rPr>
        <w:t>公务用车购置费支出0万元。本部门2018年度公务用车购置数量0辆。公务用车购置费支出与年初预算持平；与2017年度决算持平。</w:t>
      </w:r>
    </w:p>
    <w:p>
      <w:pPr>
        <w:adjustRightInd w:val="0"/>
        <w:snapToGrid w:val="0"/>
        <w:spacing w:after="0" w:line="580" w:lineRule="exact"/>
        <w:ind w:firstLine="643" w:firstLineChars="200"/>
        <w:rPr>
          <w:rFonts w:ascii="仿宋_GB2312" w:eastAsia="仿宋_GB2312"/>
          <w:sz w:val="32"/>
          <w:szCs w:val="32"/>
        </w:rPr>
      </w:pPr>
      <w:r>
        <w:rPr>
          <w:rFonts w:eastAsia="仿宋_GB2312"/>
          <w:b/>
          <w:sz w:val="32"/>
          <w:szCs w:val="32"/>
        </w:rPr>
        <w:t>公务用车运行维护费支出</w:t>
      </w:r>
      <w:r>
        <w:rPr>
          <w:rFonts w:hint="eastAsia" w:eastAsiaTheme="minorEastAsia"/>
          <w:b/>
          <w:sz w:val="32"/>
          <w:szCs w:val="32"/>
        </w:rPr>
        <w:t>6.69</w:t>
      </w:r>
      <w:r>
        <w:rPr>
          <w:rFonts w:eastAsia="仿宋_GB2312"/>
          <w:b/>
          <w:sz w:val="32"/>
          <w:szCs w:val="32"/>
        </w:rPr>
        <w:t>万元。</w:t>
      </w:r>
      <w:r>
        <w:rPr>
          <w:rFonts w:hint="eastAsia" w:ascii="仿宋_GB2312" w:eastAsia="仿宋_GB2312"/>
          <w:sz w:val="32"/>
          <w:szCs w:val="32"/>
        </w:rPr>
        <w:t>本部门2018年末单位公务用车保有量3辆。公车运行维护费支出比年初预算减少0.81万元，降低10.8%，主要是我单位厉行节约，严控公务用车运行维护费支出；比2017年度决算增加0.02万元，增长0</w:t>
      </w:r>
      <w:bookmarkStart w:id="0" w:name="_GoBack"/>
      <w:bookmarkEnd w:id="0"/>
      <w:r>
        <w:rPr>
          <w:rFonts w:hint="eastAsia" w:ascii="仿宋_GB2312" w:eastAsia="仿宋_GB2312"/>
          <w:sz w:val="32"/>
          <w:szCs w:val="32"/>
        </w:rPr>
        <w:t>%，主要是车辆维修和油费稍有增加。</w:t>
      </w:r>
    </w:p>
    <w:p>
      <w:pPr>
        <w:adjustRightInd w:val="0"/>
        <w:snapToGrid w:val="0"/>
        <w:spacing w:after="0" w:line="580" w:lineRule="exact"/>
        <w:ind w:firstLine="640" w:firstLineChars="200"/>
        <w:rPr>
          <w:rFonts w:ascii="仿宋_GB2312" w:eastAsia="仿宋_GB2312"/>
          <w:sz w:val="32"/>
          <w:szCs w:val="32"/>
        </w:rPr>
      </w:pPr>
      <w:r>
        <w:rPr>
          <w:rFonts w:ascii="宋体" w:hAnsi="宋体" w:cs="宋体"/>
          <w:sz w:val="32"/>
          <w:szCs w:val="32"/>
        </w:rPr>
        <w:t>（三）</w:t>
      </w:r>
      <w:r>
        <w:rPr>
          <w:rFonts w:eastAsia="仿宋_GB2312"/>
          <w:b/>
          <w:sz w:val="32"/>
          <w:szCs w:val="32"/>
        </w:rPr>
        <w:t>公务接待费支出</w:t>
      </w:r>
      <w:r>
        <w:rPr>
          <w:rFonts w:hint="eastAsia" w:eastAsia="仿宋_GB2312"/>
          <w:b/>
          <w:sz w:val="32"/>
          <w:szCs w:val="32"/>
        </w:rPr>
        <w:t>0</w:t>
      </w:r>
      <w:r>
        <w:rPr>
          <w:rFonts w:eastAsia="仿宋_GB2312"/>
          <w:b/>
          <w:sz w:val="32"/>
          <w:szCs w:val="32"/>
        </w:rPr>
        <w:t>万元。</w:t>
      </w:r>
      <w:r>
        <w:rPr>
          <w:rFonts w:hint="eastAsia" w:ascii="仿宋_GB2312" w:eastAsia="仿宋_GB2312"/>
          <w:sz w:val="32"/>
          <w:szCs w:val="32"/>
        </w:rPr>
        <w:t>本部门2018年度公务接待共0批次、0人次。公务接待费支出比年初预算增加减少0.53万元，降低100.0%，主要是本年度未发生公务接待费支出；与2017年度决算持平。</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ind w:firstLine="640" w:firstLineChars="200"/>
        <w:rPr>
          <w:rFonts w:ascii="仿宋_GB2312" w:eastAsia="仿宋_GB2312"/>
          <w:sz w:val="32"/>
          <w:szCs w:val="32"/>
        </w:rPr>
      </w:pPr>
      <w:r>
        <w:rPr>
          <w:rFonts w:hint="eastAsia" w:ascii="仿宋_GB2312" w:eastAsia="仿宋_GB2312"/>
          <w:sz w:val="32"/>
          <w:szCs w:val="32"/>
        </w:rPr>
        <w:t>（一）预算绩效管理工作开展情况。为规范预算绩效管理行为，按照预算绩效管理改革要求，本部门不断完善管理制度，加强财务支出管理，规范财务资产管理，加强绩效管理宣传培训工作，为预算绩效目标的实现奠定坚实的基础。同时，运用科学合理的绩效评价指标、标准和方法开展预算绩效自评工作，对预算资金的经济性、效率性、效益性以及公平性等进行客观、公正的评价。对评价中发现的问题及时整改，调整优化支出结构，提高财政资金使用效益。</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sz w:val="32"/>
          <w:szCs w:val="32"/>
        </w:rPr>
        <w:t>（二）项目绩效自评结果。本部门对2018年我部门绩效预算执行情况全面开展了自评，自评结果为良好。我部门对预算绩效评价结果进行认真分析，对管理中存在的问题，提出改进措施。预算绩效管理工作有效的减少了我部门资金使用管理中的损失浪费现象，使资金达到了合理、优化配给。本部门对《关于调整2018年中央外经贸发展专项资金预算指标（提升国际化经营能力项目）的通知》（冀财建[2018]182号）项目进行了绩效自评工作。绩效评估结果为优秀。该项目的绩效目标主要为支持我市转变外贸发展方式，优化进出口结构，培育外贸竞争新优势。该项目预算资金执行率和拨付及时性达到100%。支持中小外贸企业提升国际化经营能力项目数26项，高于设定指标值11项。项目实施后，较好的完成了绩效目标，取得了显著的经济效益和社会效益。中央外经贸发展专项资金对企业境外参展进行费用补贴，降低企业参展成本，提高了我市中小外贸企业国际化经营能力。2018年我市外贸企业有出口额较2017年增长12.79%，有出口业绩的中小外贸企业数量较去年增长28%。同时，该项目对企业的补贴有效改善了我市外贸企业的发展环境。对支持我市转变外贸发展方式，优化进出口结构，培育外贸竞争新优势发挥了积极作用。项目实施过程中，我单位严格人员作风，不断强化部门责任意识，提升服务群众工作的能力和水平。支持提升国际化经营能力的中小企业满意度达到100%。</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sz w:val="32"/>
          <w:szCs w:val="32"/>
        </w:rPr>
        <w:t>（三）重点项目绩效评价结果。</w:t>
      </w:r>
    </w:p>
    <w:p>
      <w:pPr>
        <w:adjustRightInd w:val="0"/>
        <w:snapToGrid w:val="0"/>
        <w:spacing w:line="584" w:lineRule="exact"/>
        <w:ind w:firstLine="640" w:firstLineChars="200"/>
        <w:rPr>
          <w:rFonts w:ascii="仿宋_GB2312" w:eastAsia="仿宋_GB2312"/>
          <w:sz w:val="32"/>
          <w:szCs w:val="32"/>
        </w:rPr>
      </w:pPr>
      <w:r>
        <w:rPr>
          <w:rFonts w:hint="eastAsia" w:ascii="仿宋_GB2312" w:eastAsia="仿宋_GB2312"/>
          <w:sz w:val="32"/>
          <w:szCs w:val="32"/>
        </w:rPr>
        <w:t>本部门 2018 年度无民生项目和重点支出项目。</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sz w:val="32"/>
          <w:szCs w:val="32"/>
        </w:rPr>
        <w:t>本部门2018年度机关运行经费支出58.73万元，比年初预算数减少14.25万元，降低19.5%。主要是办公费用减少。较2017年度决算减少1.36万元，降低0.02%，主要是我部门厉行节约，严格控制邮电费、办公设备购置费等费用支出。</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sz w:val="32"/>
          <w:szCs w:val="32"/>
        </w:rPr>
        <w:t>本部门2018年度政府采购支出总额0万元，从采购类型来看，政府采购货物支出0万元、政府采购工程支出0万元、政府采购服务支出 0万元。授予中小企业合同金0万元，占政府采购支出总额的0.0%，其中授予小微企业合同金额0万元，占政府采购支出总额的 0.0%。</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sz w:val="32"/>
          <w:szCs w:val="32"/>
        </w:rPr>
        <w:t>截至2018年12月31日，本部门共有车辆3辆，比上年减少4辆，主要是公车改革中，核销部分车辆。其中，副部（省）级及以上领导用车0辆，主要领导干部用车0辆，机要通信用车1辆，应急保障用车0辆，执法执勤用车0辆，特种专业技术用车0辆，离退休干部用车0辆，其他用车2辆，其他用车主要是行政执法用车；单位价值50万元以上通用设备0台（套），与上年持平，单位价值100万元以上专用设备0台（套），与上年持平。</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sz w:val="32"/>
          <w:szCs w:val="32"/>
        </w:rPr>
        <w:t xml:space="preserve">1、本部门2018年度政府性基金无收支及结转结余情况，故政府性基金预算财政拨款收入支出决算表以空表列示；国有资本经营预算财政拨款无支出情况，故国有资本经营预算财政拨款支出决算表以空表列示；本部门无政府采购支出，故政府采购情况表以空表列示。     </w:t>
      </w:r>
    </w:p>
    <w:p>
      <w:pPr>
        <w:adjustRightInd w:val="0"/>
        <w:snapToGrid w:val="0"/>
        <w:spacing w:after="0" w:line="580" w:lineRule="exact"/>
        <w:ind w:firstLine="640" w:firstLineChars="200"/>
        <w:rPr>
          <w:rFonts w:ascii="仿宋_GB2312" w:eastAsia="仿宋_GB2312"/>
          <w:sz w:val="32"/>
          <w:szCs w:val="32"/>
        </w:rPr>
      </w:pPr>
      <w:r>
        <w:rPr>
          <w:rFonts w:hint="eastAsia" w:ascii="仿宋_GB2312" w:eastAsia="仿宋_GB2312"/>
          <w:sz w:val="32"/>
          <w:szCs w:val="32"/>
        </w:rPr>
        <w:t>2、由于决算公开表格中金额数值应当保留两位小数，公开数据为四舍五入计算结果，个别数据合计项与分项之和存在小数点后差额，特此说明。</w:t>
      </w:r>
    </w:p>
    <w:p>
      <w:pPr>
        <w:adjustRightInd w:val="0"/>
        <w:snapToGrid w:val="0"/>
        <w:spacing w:after="0" w:line="580" w:lineRule="exact"/>
        <w:ind w:firstLine="640" w:firstLineChars="200"/>
        <w:rPr>
          <w:rFonts w:ascii="仿宋_GB2312" w:eastAsia="仿宋_GB2312"/>
          <w:sz w:val="32"/>
          <w:szCs w:val="3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0B2FD6-65F1-417B-AB7F-55999D255B1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embedRegular r:id="rId2" w:fontKey="{D14CC87A-0F93-41A5-BFB5-BD1E5BF2E0F6}"/>
  </w:font>
  <w:font w:name="楷体">
    <w:panose1 w:val="02010609060101010101"/>
    <w:charset w:val="86"/>
    <w:family w:val="modern"/>
    <w:pitch w:val="default"/>
    <w:sig w:usb0="800002BF" w:usb1="38CF7CFA" w:usb2="00000016" w:usb3="00000000" w:csb0="00040001" w:csb1="00000000"/>
    <w:embedRegular r:id="rId3" w:fontKey="{EC8E0E1F-E6C3-4F04-ABC0-50D03868B688}"/>
  </w:font>
  <w:font w:name="仿宋_GB2312">
    <w:altName w:val="仿宋"/>
    <w:panose1 w:val="00000000000000000000"/>
    <w:charset w:val="86"/>
    <w:family w:val="modern"/>
    <w:pitch w:val="default"/>
    <w:sig w:usb0="00000000" w:usb1="00000000" w:usb2="00000000" w:usb3="00000000" w:csb0="00040000" w:csb1="00000000"/>
    <w:embedRegular r:id="rId4" w:fontKey="{E3BEDDCF-CB9C-4E9D-BE81-363426D8F61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embedRegular r:id="rId5" w:fontKey="{14A0F518-EC77-4548-A2ED-F7485F11FDC0}"/>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embedRegular r:id="rId6" w:fontKey="{EF5CAA7A-790C-4BB0-A832-E295D5A6B329}"/>
  </w:font>
  <w:font w:name="Arial">
    <w:panose1 w:val="020B0604020202020204"/>
    <w:charset w:val="00"/>
    <w:family w:val="swiss"/>
    <w:pitch w:val="default"/>
    <w:sig w:usb0="E0002AFF" w:usb1="C0007843" w:usb2="00000009" w:usb3="00000000" w:csb0="400001FF" w:csb1="FFFF0000"/>
    <w:embedRegular r:id="rId7" w:fontKey="{D8145A7C-8B9F-4FEF-8FDD-9B7121ADBF83}"/>
  </w:font>
  <w:font w:name="DengXian-Regular">
    <w:altName w:val="宋体"/>
    <w:panose1 w:val="00000000000000000000"/>
    <w:charset w:val="86"/>
    <w:family w:val="auto"/>
    <w:pitch w:val="default"/>
    <w:sig w:usb0="00000000" w:usb1="00000000" w:usb2="00000010" w:usb3="00000000" w:csb0="00040001" w:csb1="00000000"/>
    <w:embedRegular r:id="rId8" w:fontKey="{613A0040-3ED8-4628-B63B-138BCB1402D6}"/>
  </w:font>
  <w:font w:name="楷体_GB2312">
    <w:altName w:val="楷体"/>
    <w:panose1 w:val="00000000000000000000"/>
    <w:charset w:val="86"/>
    <w:family w:val="modern"/>
    <w:pitch w:val="default"/>
    <w:sig w:usb0="00000000" w:usb1="00000000" w:usb2="00000000" w:usb3="00000000" w:csb0="00000000" w:csb1="00000000"/>
    <w:embedRegular r:id="rId9" w:fontKey="{313751C1-2C14-4FBF-9C9F-C365346972D6}"/>
  </w:font>
  <w:font w:name="DengXian-Bold">
    <w:altName w:val="宋体"/>
    <w:panose1 w:val="00000000000000000000"/>
    <w:charset w:val="86"/>
    <w:family w:val="auto"/>
    <w:pitch w:val="default"/>
    <w:sig w:usb0="00000000" w:usb1="00000000" w:usb2="00000010" w:usb3="00000000" w:csb0="00040001" w:csb1="00000000"/>
    <w:embedRegular r:id="rId10" w:fontKey="{A42DCE13-F496-4C8E-A3DB-89D8F1951CCA}"/>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05323"/>
    <w:rsid w:val="00015EE6"/>
    <w:rsid w:val="000166E1"/>
    <w:rsid w:val="00020FAF"/>
    <w:rsid w:val="00022474"/>
    <w:rsid w:val="00024E7F"/>
    <w:rsid w:val="00040AB1"/>
    <w:rsid w:val="00044317"/>
    <w:rsid w:val="00045CF2"/>
    <w:rsid w:val="000475A0"/>
    <w:rsid w:val="00055812"/>
    <w:rsid w:val="00065597"/>
    <w:rsid w:val="00067693"/>
    <w:rsid w:val="000838C3"/>
    <w:rsid w:val="000B2446"/>
    <w:rsid w:val="000D7C65"/>
    <w:rsid w:val="000E2F81"/>
    <w:rsid w:val="00101F8D"/>
    <w:rsid w:val="00117946"/>
    <w:rsid w:val="00117E2C"/>
    <w:rsid w:val="00146C47"/>
    <w:rsid w:val="00152FB8"/>
    <w:rsid w:val="00176658"/>
    <w:rsid w:val="0018239E"/>
    <w:rsid w:val="001A3EFB"/>
    <w:rsid w:val="001B3410"/>
    <w:rsid w:val="001B7503"/>
    <w:rsid w:val="001C030D"/>
    <w:rsid w:val="001C4A84"/>
    <w:rsid w:val="001E5902"/>
    <w:rsid w:val="001F5E82"/>
    <w:rsid w:val="00223012"/>
    <w:rsid w:val="00231154"/>
    <w:rsid w:val="00233705"/>
    <w:rsid w:val="00240E67"/>
    <w:rsid w:val="0024612B"/>
    <w:rsid w:val="00246D99"/>
    <w:rsid w:val="00257266"/>
    <w:rsid w:val="00262306"/>
    <w:rsid w:val="00275CA2"/>
    <w:rsid w:val="00280D28"/>
    <w:rsid w:val="002A65A5"/>
    <w:rsid w:val="002C04C4"/>
    <w:rsid w:val="002C1A37"/>
    <w:rsid w:val="002D08B0"/>
    <w:rsid w:val="002D1AE3"/>
    <w:rsid w:val="002F2ECE"/>
    <w:rsid w:val="00341C8F"/>
    <w:rsid w:val="0035463A"/>
    <w:rsid w:val="00391D9D"/>
    <w:rsid w:val="003B6C51"/>
    <w:rsid w:val="003C1413"/>
    <w:rsid w:val="003C549F"/>
    <w:rsid w:val="003D5A16"/>
    <w:rsid w:val="003E7DB3"/>
    <w:rsid w:val="00431175"/>
    <w:rsid w:val="004374A3"/>
    <w:rsid w:val="00490219"/>
    <w:rsid w:val="00493686"/>
    <w:rsid w:val="004B0AA7"/>
    <w:rsid w:val="004B6E37"/>
    <w:rsid w:val="004C32BA"/>
    <w:rsid w:val="004C68EF"/>
    <w:rsid w:val="00526251"/>
    <w:rsid w:val="00527C55"/>
    <w:rsid w:val="0053077E"/>
    <w:rsid w:val="0053601E"/>
    <w:rsid w:val="005559F6"/>
    <w:rsid w:val="00560B86"/>
    <w:rsid w:val="00575922"/>
    <w:rsid w:val="005A3C0D"/>
    <w:rsid w:val="005A6C90"/>
    <w:rsid w:val="005B05A6"/>
    <w:rsid w:val="005B37E6"/>
    <w:rsid w:val="005B484A"/>
    <w:rsid w:val="005B62F4"/>
    <w:rsid w:val="005C4AFA"/>
    <w:rsid w:val="005E3FB0"/>
    <w:rsid w:val="005F4B66"/>
    <w:rsid w:val="005F5208"/>
    <w:rsid w:val="006018C9"/>
    <w:rsid w:val="00615C31"/>
    <w:rsid w:val="006225BE"/>
    <w:rsid w:val="006375E0"/>
    <w:rsid w:val="00640BB3"/>
    <w:rsid w:val="00641318"/>
    <w:rsid w:val="0064405D"/>
    <w:rsid w:val="006563F8"/>
    <w:rsid w:val="00694A0E"/>
    <w:rsid w:val="00695557"/>
    <w:rsid w:val="006A2053"/>
    <w:rsid w:val="006A47CF"/>
    <w:rsid w:val="006D4EA7"/>
    <w:rsid w:val="0070012A"/>
    <w:rsid w:val="0070664B"/>
    <w:rsid w:val="007071B8"/>
    <w:rsid w:val="007155C2"/>
    <w:rsid w:val="00733965"/>
    <w:rsid w:val="007414DE"/>
    <w:rsid w:val="00745DCB"/>
    <w:rsid w:val="00760C0C"/>
    <w:rsid w:val="00775CB4"/>
    <w:rsid w:val="00777BBF"/>
    <w:rsid w:val="007905A9"/>
    <w:rsid w:val="007E072B"/>
    <w:rsid w:val="007E5500"/>
    <w:rsid w:val="007F055B"/>
    <w:rsid w:val="0081103D"/>
    <w:rsid w:val="00811C2F"/>
    <w:rsid w:val="008161AD"/>
    <w:rsid w:val="008276FD"/>
    <w:rsid w:val="00833D46"/>
    <w:rsid w:val="00836215"/>
    <w:rsid w:val="00840A97"/>
    <w:rsid w:val="008721CC"/>
    <w:rsid w:val="00872B02"/>
    <w:rsid w:val="00873292"/>
    <w:rsid w:val="008A640A"/>
    <w:rsid w:val="008B75F7"/>
    <w:rsid w:val="008C0149"/>
    <w:rsid w:val="008D5DED"/>
    <w:rsid w:val="008E25CA"/>
    <w:rsid w:val="008F34FC"/>
    <w:rsid w:val="008F51EE"/>
    <w:rsid w:val="00944CD7"/>
    <w:rsid w:val="00961190"/>
    <w:rsid w:val="00961F28"/>
    <w:rsid w:val="009643F8"/>
    <w:rsid w:val="00966117"/>
    <w:rsid w:val="00977438"/>
    <w:rsid w:val="009831B2"/>
    <w:rsid w:val="009A1ABE"/>
    <w:rsid w:val="009B4320"/>
    <w:rsid w:val="009B7399"/>
    <w:rsid w:val="009C1F5A"/>
    <w:rsid w:val="009E21A4"/>
    <w:rsid w:val="009F22C6"/>
    <w:rsid w:val="00A07E50"/>
    <w:rsid w:val="00A12C15"/>
    <w:rsid w:val="00A15397"/>
    <w:rsid w:val="00A17149"/>
    <w:rsid w:val="00A35CE0"/>
    <w:rsid w:val="00A4462E"/>
    <w:rsid w:val="00A44AA4"/>
    <w:rsid w:val="00A51BA6"/>
    <w:rsid w:val="00A61623"/>
    <w:rsid w:val="00A84687"/>
    <w:rsid w:val="00A8711F"/>
    <w:rsid w:val="00A96AAE"/>
    <w:rsid w:val="00AA0458"/>
    <w:rsid w:val="00AB0A0E"/>
    <w:rsid w:val="00AD3B6E"/>
    <w:rsid w:val="00AF6D31"/>
    <w:rsid w:val="00B009FF"/>
    <w:rsid w:val="00B1218E"/>
    <w:rsid w:val="00B1605A"/>
    <w:rsid w:val="00B1751F"/>
    <w:rsid w:val="00B24675"/>
    <w:rsid w:val="00B32F65"/>
    <w:rsid w:val="00B50F96"/>
    <w:rsid w:val="00B56722"/>
    <w:rsid w:val="00B67044"/>
    <w:rsid w:val="00B74D39"/>
    <w:rsid w:val="00B827C6"/>
    <w:rsid w:val="00B90267"/>
    <w:rsid w:val="00B91DA4"/>
    <w:rsid w:val="00BA7174"/>
    <w:rsid w:val="00BA78D0"/>
    <w:rsid w:val="00BD644D"/>
    <w:rsid w:val="00BD7116"/>
    <w:rsid w:val="00C0619C"/>
    <w:rsid w:val="00C12630"/>
    <w:rsid w:val="00C34562"/>
    <w:rsid w:val="00C35860"/>
    <w:rsid w:val="00C36F97"/>
    <w:rsid w:val="00C3774E"/>
    <w:rsid w:val="00C464D2"/>
    <w:rsid w:val="00C52559"/>
    <w:rsid w:val="00C57456"/>
    <w:rsid w:val="00C65387"/>
    <w:rsid w:val="00C86B3E"/>
    <w:rsid w:val="00C87FAB"/>
    <w:rsid w:val="00C91FF7"/>
    <w:rsid w:val="00C92D15"/>
    <w:rsid w:val="00C94E53"/>
    <w:rsid w:val="00CE3FC3"/>
    <w:rsid w:val="00CF61B9"/>
    <w:rsid w:val="00D0048E"/>
    <w:rsid w:val="00D13E4B"/>
    <w:rsid w:val="00D23E7A"/>
    <w:rsid w:val="00D43A83"/>
    <w:rsid w:val="00D5006E"/>
    <w:rsid w:val="00D56D8F"/>
    <w:rsid w:val="00D61063"/>
    <w:rsid w:val="00D71620"/>
    <w:rsid w:val="00D827BE"/>
    <w:rsid w:val="00D85072"/>
    <w:rsid w:val="00DB2273"/>
    <w:rsid w:val="00DB35AF"/>
    <w:rsid w:val="00DC4844"/>
    <w:rsid w:val="00DD72D7"/>
    <w:rsid w:val="00DE611A"/>
    <w:rsid w:val="00DF5B88"/>
    <w:rsid w:val="00E0589E"/>
    <w:rsid w:val="00E0697F"/>
    <w:rsid w:val="00E1342B"/>
    <w:rsid w:val="00E241FA"/>
    <w:rsid w:val="00E2595E"/>
    <w:rsid w:val="00E3457A"/>
    <w:rsid w:val="00E35374"/>
    <w:rsid w:val="00E50C19"/>
    <w:rsid w:val="00E51B88"/>
    <w:rsid w:val="00E64655"/>
    <w:rsid w:val="00E73081"/>
    <w:rsid w:val="00E856C9"/>
    <w:rsid w:val="00EA4F68"/>
    <w:rsid w:val="00EB6A8B"/>
    <w:rsid w:val="00EC6814"/>
    <w:rsid w:val="00ED411D"/>
    <w:rsid w:val="00ED6918"/>
    <w:rsid w:val="00EF38C6"/>
    <w:rsid w:val="00F12950"/>
    <w:rsid w:val="00F14C48"/>
    <w:rsid w:val="00F20535"/>
    <w:rsid w:val="00F463CA"/>
    <w:rsid w:val="00F679C7"/>
    <w:rsid w:val="00F7711A"/>
    <w:rsid w:val="00F80C72"/>
    <w:rsid w:val="00FA0D58"/>
    <w:rsid w:val="00FA1580"/>
    <w:rsid w:val="00FA56F4"/>
    <w:rsid w:val="00FB0C20"/>
    <w:rsid w:val="00FB4EDA"/>
    <w:rsid w:val="00FD3BD5"/>
    <w:rsid w:val="00FD54DA"/>
    <w:rsid w:val="00FE3DC8"/>
    <w:rsid w:val="00FE50C3"/>
    <w:rsid w:val="00FE7793"/>
    <w:rsid w:val="013F747B"/>
    <w:rsid w:val="04073F84"/>
    <w:rsid w:val="05182203"/>
    <w:rsid w:val="09B250EA"/>
    <w:rsid w:val="0B60750A"/>
    <w:rsid w:val="10686488"/>
    <w:rsid w:val="10DF728A"/>
    <w:rsid w:val="1264200E"/>
    <w:rsid w:val="141C5B77"/>
    <w:rsid w:val="18D8339D"/>
    <w:rsid w:val="1A21388F"/>
    <w:rsid w:val="1A570D2F"/>
    <w:rsid w:val="20352CFC"/>
    <w:rsid w:val="23504744"/>
    <w:rsid w:val="246D25BE"/>
    <w:rsid w:val="278F55EA"/>
    <w:rsid w:val="28FB0B8D"/>
    <w:rsid w:val="2C27283A"/>
    <w:rsid w:val="2D2B7942"/>
    <w:rsid w:val="2D46481D"/>
    <w:rsid w:val="2E733B28"/>
    <w:rsid w:val="31852B5A"/>
    <w:rsid w:val="32D01238"/>
    <w:rsid w:val="38F70B48"/>
    <w:rsid w:val="3DFC59A8"/>
    <w:rsid w:val="3ECF245E"/>
    <w:rsid w:val="3FB96314"/>
    <w:rsid w:val="4AD863D9"/>
    <w:rsid w:val="4EA617AA"/>
    <w:rsid w:val="4FB86ADF"/>
    <w:rsid w:val="53A44FAF"/>
    <w:rsid w:val="547B35E8"/>
    <w:rsid w:val="594329EC"/>
    <w:rsid w:val="5BEE1540"/>
    <w:rsid w:val="5DE61A5D"/>
    <w:rsid w:val="5F2B28E1"/>
    <w:rsid w:val="5FF71A65"/>
    <w:rsid w:val="63C04243"/>
    <w:rsid w:val="649C01C7"/>
    <w:rsid w:val="663C7AAE"/>
    <w:rsid w:val="699A3F60"/>
    <w:rsid w:val="71014C9A"/>
    <w:rsid w:val="72902E62"/>
    <w:rsid w:val="73C61104"/>
    <w:rsid w:val="753A1BF5"/>
    <w:rsid w:val="776452EA"/>
    <w:rsid w:val="79247F82"/>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DA58-3CA2-4856-9A51-CD581AE1A76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2131</Words>
  <Characters>12148</Characters>
  <Lines>101</Lines>
  <Paragraphs>28</Paragraphs>
  <TotalTime>45</TotalTime>
  <ScaleCrop>false</ScaleCrop>
  <LinksUpToDate>false</LinksUpToDate>
  <CharactersWithSpaces>14251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皇</cp:lastModifiedBy>
  <cp:lastPrinted>2019-09-27T00:42:00Z</cp:lastPrinted>
  <dcterms:modified xsi:type="dcterms:W3CDTF">2021-05-26T06:49:08Z</dcterms:modified>
  <dc:subject>石家庄市xxx部门</dc:subject>
  <dc:title>2017年度部门决算</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76E3F28FE76A463595E45F061320277B</vt:lpwstr>
  </property>
</Properties>
</file>